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98E7E" w14:textId="4E67BBA2" w:rsidR="00234562" w:rsidRPr="001D718F" w:rsidRDefault="00935B71" w:rsidP="00234562">
      <w:pPr>
        <w:pBdr>
          <w:bottom w:val="single" w:sz="4" w:space="1" w:color="D0CECE" w:themeColor="background2" w:themeShade="E6"/>
        </w:pBdr>
        <w:ind w:left="-851"/>
        <w:rPr>
          <w:rFonts w:ascii="Poppins" w:hAnsi="Poppins" w:cs="Poppins"/>
          <w:color w:val="044054"/>
          <w:sz w:val="20"/>
          <w:szCs w:val="20"/>
        </w:rPr>
      </w:pPr>
      <w:r w:rsidRPr="00DE3887">
        <w:rPr>
          <w:rFonts w:ascii="Poppins" w:hAnsi="Poppins" w:cs="Poppins"/>
          <w:noProof/>
          <w:color w:val="044054"/>
        </w:rPr>
        <w:drawing>
          <wp:anchor distT="0" distB="0" distL="114300" distR="114300" simplePos="0" relativeHeight="251658240" behindDoc="0" locked="1" layoutInCell="1" allowOverlap="1" wp14:anchorId="06CB26F3" wp14:editId="7C961A7A">
            <wp:simplePos x="0" y="0"/>
            <wp:positionH relativeFrom="margin">
              <wp:posOffset>8046720</wp:posOffset>
            </wp:positionH>
            <wp:positionV relativeFrom="margin">
              <wp:posOffset>-3810</wp:posOffset>
            </wp:positionV>
            <wp:extent cx="1336040" cy="476250"/>
            <wp:effectExtent l="0" t="0" r="0" b="6350"/>
            <wp:wrapSquare wrapText="bothSides"/>
            <wp:docPr id="7086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432" name="Picture 70864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10D" w:rsidRPr="00DE3887">
        <w:rPr>
          <w:rFonts w:ascii="Poppins Medium" w:hAnsi="Poppins Medium" w:cs="Poppins Medium"/>
          <w:color w:val="044054"/>
        </w:rPr>
        <w:t>PSH: Guides</w:t>
      </w:r>
      <w:r w:rsidR="00234562" w:rsidRPr="00DE3887">
        <w:rPr>
          <w:rFonts w:ascii="Poppins Medium" w:hAnsi="Poppins Medium" w:cs="Poppins Medium"/>
          <w:color w:val="044054"/>
        </w:rPr>
        <w:t xml:space="preserve"> </w:t>
      </w:r>
      <w:r w:rsidR="0074510D" w:rsidRPr="00DE3887">
        <w:rPr>
          <w:rFonts w:ascii="Poppins" w:hAnsi="Poppins" w:cs="Poppins"/>
          <w:color w:val="044054"/>
        </w:rPr>
        <w:t xml:space="preserve">Selecting a Drug </w:t>
      </w:r>
      <w:r w:rsidR="00AC6386">
        <w:rPr>
          <w:rFonts w:ascii="Poppins" w:hAnsi="Poppins" w:cs="Poppins"/>
          <w:color w:val="044054"/>
        </w:rPr>
        <w:t>Substance</w:t>
      </w:r>
      <w:r w:rsidR="0074510D" w:rsidRPr="00DE3887">
        <w:rPr>
          <w:rFonts w:ascii="Poppins" w:hAnsi="Poppins" w:cs="Poppins"/>
          <w:color w:val="044054"/>
        </w:rPr>
        <w:t xml:space="preserve"> CDM</w:t>
      </w:r>
      <w:r w:rsidR="00234562" w:rsidRPr="00DE3887">
        <w:rPr>
          <w:rFonts w:ascii="Poppins" w:hAnsi="Poppins" w:cs="Poppins"/>
          <w:color w:val="044054"/>
        </w:rPr>
        <w:t>O</w:t>
      </w:r>
      <w:r w:rsidR="00234562" w:rsidRPr="00DE3887">
        <w:rPr>
          <w:rFonts w:ascii="Poppins" w:hAnsi="Poppins" w:cs="Poppins"/>
          <w:color w:val="044054"/>
        </w:rPr>
        <w:br/>
      </w:r>
      <w:r w:rsidR="00234562" w:rsidRPr="001D718F">
        <w:rPr>
          <w:rFonts w:ascii="Poppins" w:hAnsi="Poppins" w:cs="Poppins"/>
          <w:color w:val="044054"/>
          <w:sz w:val="20"/>
          <w:szCs w:val="20"/>
        </w:rPr>
        <w:t>V1.0 – SEPTEMBER 2026</w:t>
      </w:r>
    </w:p>
    <w:p w14:paraId="3F6A892F" w14:textId="5294EE90" w:rsidR="0074510D" w:rsidRPr="00DE3887" w:rsidRDefault="0074510D" w:rsidP="00935B71">
      <w:pPr>
        <w:pStyle w:val="Heading1"/>
        <w:ind w:left="-850"/>
        <w:rPr>
          <w:color w:val="044054"/>
        </w:rPr>
      </w:pPr>
      <w:r w:rsidRPr="00DE3887">
        <w:rPr>
          <w:color w:val="044054"/>
        </w:rPr>
        <w:t>Preparation template</w:t>
      </w:r>
    </w:p>
    <w:p w14:paraId="614BD26A" w14:textId="3B74E555" w:rsidR="00234562" w:rsidRPr="00DE3887" w:rsidRDefault="0074510D" w:rsidP="00935B71">
      <w:pPr>
        <w:ind w:left="-851"/>
        <w:rPr>
          <w:rFonts w:ascii="Poppins" w:hAnsi="Poppins" w:cs="Poppins"/>
          <w:color w:val="044054"/>
        </w:rPr>
      </w:pPr>
      <w:r w:rsidRPr="00DE3887">
        <w:rPr>
          <w:rFonts w:ascii="Poppins" w:hAnsi="Poppins" w:cs="Poppins"/>
          <w:color w:val="044054"/>
        </w:rPr>
        <w:t xml:space="preserve">Use this </w:t>
      </w:r>
      <w:r w:rsidR="003F366E">
        <w:rPr>
          <w:rFonts w:ascii="Poppins" w:hAnsi="Poppins" w:cs="Poppins"/>
          <w:color w:val="044054"/>
        </w:rPr>
        <w:t>template</w:t>
      </w:r>
      <w:r w:rsidRPr="00DE3887">
        <w:rPr>
          <w:rFonts w:ascii="Poppins" w:hAnsi="Poppins" w:cs="Poppins"/>
          <w:color w:val="044054"/>
        </w:rPr>
        <w:t xml:space="preserve"> before contacting service providers. The aim is to capture enough information to make the first conversation useful, </w:t>
      </w:r>
      <w:r w:rsidR="00FC49F8" w:rsidRPr="00FC49F8">
        <w:rPr>
          <w:rFonts w:ascii="Poppins" w:hAnsi="Poppins" w:cs="Poppins"/>
          <w:color w:val="044054"/>
        </w:rPr>
        <w:t>including the drug substance modality, process history, analytical status, quality expectations and known gaps</w:t>
      </w:r>
      <w:r w:rsidRPr="00DE3887">
        <w:rPr>
          <w:rFonts w:ascii="Poppins" w:hAnsi="Poppins" w:cs="Poppins"/>
          <w:color w:val="044054"/>
        </w:rPr>
        <w:t>.</w:t>
      </w:r>
    </w:p>
    <w:tbl>
      <w:tblPr>
        <w:tblStyle w:val="GridTable4-Accent1"/>
        <w:tblW w:w="15738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2"/>
        <w:gridCol w:w="2549"/>
        <w:gridCol w:w="6902"/>
        <w:gridCol w:w="5525"/>
      </w:tblGrid>
      <w:tr w:rsidR="0074510D" w:rsidRPr="00DE3887" w14:paraId="7A4AA2D1" w14:textId="77777777" w:rsidTr="00935B71">
        <w:tc>
          <w:tcPr>
            <w:tcW w:w="0" w:type="auto"/>
            <w:vAlign w:val="center"/>
            <w:hideMark/>
          </w:tcPr>
          <w:p w14:paraId="0B0CCA37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Step</w:t>
            </w:r>
          </w:p>
        </w:tc>
        <w:tc>
          <w:tcPr>
            <w:tcW w:w="0" w:type="auto"/>
            <w:vAlign w:val="center"/>
            <w:hideMark/>
          </w:tcPr>
          <w:p w14:paraId="04B646DF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Preparation area</w:t>
            </w:r>
          </w:p>
        </w:tc>
        <w:tc>
          <w:tcPr>
            <w:tcW w:w="6902" w:type="dxa"/>
            <w:vAlign w:val="center"/>
            <w:hideMark/>
          </w:tcPr>
          <w:p w14:paraId="5FC996E7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Information to populate</w:t>
            </w:r>
          </w:p>
        </w:tc>
        <w:tc>
          <w:tcPr>
            <w:tcW w:w="5525" w:type="dxa"/>
            <w:vAlign w:val="center"/>
            <w:hideMark/>
          </w:tcPr>
          <w:p w14:paraId="53AEF71B" w14:textId="0E65D5E0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Owner / notes</w:t>
            </w:r>
          </w:p>
        </w:tc>
      </w:tr>
      <w:tr w:rsidR="0074510D" w:rsidRPr="00DE3887" w14:paraId="70227B2C" w14:textId="77777777" w:rsidTr="00935B71">
        <w:tc>
          <w:tcPr>
            <w:tcW w:w="0" w:type="auto"/>
            <w:vAlign w:val="center"/>
            <w:hideMark/>
          </w:tcPr>
          <w:p w14:paraId="1C552E3B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DB3C1E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Project milestone</w:t>
            </w:r>
          </w:p>
        </w:tc>
        <w:tc>
          <w:tcPr>
            <w:tcW w:w="6902" w:type="dxa"/>
            <w:vAlign w:val="center"/>
            <w:hideMark/>
          </w:tcPr>
          <w:p w14:paraId="179E0499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Key milestones and what success looks like.</w:t>
            </w:r>
          </w:p>
        </w:tc>
        <w:tc>
          <w:tcPr>
            <w:tcW w:w="5525" w:type="dxa"/>
            <w:vAlign w:val="center"/>
            <w:hideMark/>
          </w:tcPr>
          <w:p w14:paraId="24230FD1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630D75FD" w14:textId="77777777" w:rsidTr="00935B71">
        <w:tc>
          <w:tcPr>
            <w:tcW w:w="0" w:type="auto"/>
            <w:vAlign w:val="center"/>
            <w:hideMark/>
          </w:tcPr>
          <w:p w14:paraId="75DC344D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CF6EC7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Outsourcing scope</w:t>
            </w:r>
          </w:p>
        </w:tc>
        <w:tc>
          <w:tcPr>
            <w:tcW w:w="6902" w:type="dxa"/>
            <w:vAlign w:val="center"/>
            <w:hideMark/>
          </w:tcPr>
          <w:p w14:paraId="7FD9850E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Activities to outsource and activities to keep internal or with other vendors.</w:t>
            </w:r>
          </w:p>
        </w:tc>
        <w:tc>
          <w:tcPr>
            <w:tcW w:w="5525" w:type="dxa"/>
            <w:vAlign w:val="center"/>
            <w:hideMark/>
          </w:tcPr>
          <w:p w14:paraId="56D27633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A4AAF" w:rsidRPr="00DE3887" w14:paraId="3F10E208" w14:textId="77777777" w:rsidTr="00EF1917">
        <w:tc>
          <w:tcPr>
            <w:tcW w:w="0" w:type="auto"/>
            <w:vAlign w:val="center"/>
            <w:hideMark/>
          </w:tcPr>
          <w:p w14:paraId="16746798" w14:textId="77777777" w:rsidR="008A4AAF" w:rsidRPr="00DE3887" w:rsidRDefault="008A4AAF" w:rsidP="008A4AA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B6EF4A" w14:textId="77777777" w:rsidR="008A4AAF" w:rsidRPr="00DE3887" w:rsidRDefault="008A4AAF" w:rsidP="008A4AA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TPP details</w:t>
            </w:r>
          </w:p>
        </w:tc>
        <w:tc>
          <w:tcPr>
            <w:tcW w:w="6902" w:type="dxa"/>
            <w:hideMark/>
          </w:tcPr>
          <w:p w14:paraId="27069EC9" w14:textId="7C2E357C" w:rsidR="008A4AAF" w:rsidRPr="00DE3887" w:rsidRDefault="008A4AAF" w:rsidP="008A4AA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8A4AAF">
              <w:rPr>
                <w:rFonts w:ascii="Poppins" w:hAnsi="Poppins" w:cs="Poppins"/>
                <w:color w:val="044054"/>
                <w:sz w:val="20"/>
                <w:szCs w:val="20"/>
              </w:rPr>
              <w:t>API type, modality, development stage, intended clinical/commercial path and known technical constraints.</w:t>
            </w:r>
          </w:p>
        </w:tc>
        <w:tc>
          <w:tcPr>
            <w:tcW w:w="5525" w:type="dxa"/>
            <w:vAlign w:val="center"/>
            <w:hideMark/>
          </w:tcPr>
          <w:p w14:paraId="440641A3" w14:textId="77777777" w:rsidR="008A4AAF" w:rsidRPr="00DE3887" w:rsidRDefault="008A4AAF" w:rsidP="008A4AAF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A4AAF" w:rsidRPr="00DE3887" w14:paraId="14344F7F" w14:textId="77777777" w:rsidTr="00EF1917">
        <w:tc>
          <w:tcPr>
            <w:tcW w:w="0" w:type="auto"/>
            <w:vAlign w:val="center"/>
            <w:hideMark/>
          </w:tcPr>
          <w:p w14:paraId="05BC2241" w14:textId="77777777" w:rsidR="008A4AAF" w:rsidRPr="00DE3887" w:rsidRDefault="008A4AAF" w:rsidP="008A4AA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D7AC6D2" w14:textId="77777777" w:rsidR="008A4AAF" w:rsidRPr="00DE3887" w:rsidRDefault="008A4AAF" w:rsidP="008A4AA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Available information</w:t>
            </w:r>
          </w:p>
        </w:tc>
        <w:tc>
          <w:tcPr>
            <w:tcW w:w="6902" w:type="dxa"/>
            <w:hideMark/>
          </w:tcPr>
          <w:p w14:paraId="0A2A2A67" w14:textId="4ED6BE42" w:rsidR="008A4AAF" w:rsidRPr="00DE3887" w:rsidRDefault="008A4AAF" w:rsidP="008A4AA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8A4AAF">
              <w:rPr>
                <w:rFonts w:ascii="Poppins" w:hAnsi="Poppins" w:cs="Poppins"/>
                <w:color w:val="044054"/>
                <w:sz w:val="20"/>
                <w:szCs w:val="20"/>
              </w:rPr>
              <w:t>Route/process history, analytical methods, impurity or variant data, stability data, manufacturing history, specifications, control strategy and target product profile.</w:t>
            </w:r>
          </w:p>
        </w:tc>
        <w:tc>
          <w:tcPr>
            <w:tcW w:w="5525" w:type="dxa"/>
            <w:vAlign w:val="center"/>
            <w:hideMark/>
          </w:tcPr>
          <w:p w14:paraId="0EA9692B" w14:textId="77777777" w:rsidR="008A4AAF" w:rsidRPr="00DE3887" w:rsidRDefault="008A4AAF" w:rsidP="008A4AAF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A4AAF" w:rsidRPr="00DE3887" w14:paraId="0AEFBB6B" w14:textId="77777777" w:rsidTr="00EF1917">
        <w:tc>
          <w:tcPr>
            <w:tcW w:w="0" w:type="auto"/>
            <w:vAlign w:val="center"/>
            <w:hideMark/>
          </w:tcPr>
          <w:p w14:paraId="35DA6971" w14:textId="77777777" w:rsidR="008A4AAF" w:rsidRPr="00DE3887" w:rsidRDefault="008A4AAF" w:rsidP="008A4AA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70BF7A2" w14:textId="77777777" w:rsidR="008A4AAF" w:rsidRPr="00DE3887" w:rsidRDefault="008A4AAF" w:rsidP="008A4AA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Known gaps</w:t>
            </w:r>
          </w:p>
        </w:tc>
        <w:tc>
          <w:tcPr>
            <w:tcW w:w="6902" w:type="dxa"/>
            <w:hideMark/>
          </w:tcPr>
          <w:p w14:paraId="4127C4B0" w14:textId="042A6871" w:rsidR="008A4AAF" w:rsidRPr="00DE3887" w:rsidRDefault="008A4AAF" w:rsidP="008A4AA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8A4AAF">
              <w:rPr>
                <w:rFonts w:ascii="Poppins" w:hAnsi="Poppins" w:cs="Poppins"/>
                <w:color w:val="044054"/>
                <w:sz w:val="20"/>
                <w:szCs w:val="20"/>
              </w:rPr>
              <w:t>Unknowns, uncertainties or areas still under development.</w:t>
            </w:r>
          </w:p>
        </w:tc>
        <w:tc>
          <w:tcPr>
            <w:tcW w:w="5525" w:type="dxa"/>
            <w:vAlign w:val="center"/>
            <w:hideMark/>
          </w:tcPr>
          <w:p w14:paraId="2DB16EAD" w14:textId="77777777" w:rsidR="008A4AAF" w:rsidRPr="00DE3887" w:rsidRDefault="008A4AAF" w:rsidP="008A4AAF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8A4AAF" w:rsidRPr="00DE3887" w14:paraId="2CB47289" w14:textId="77777777" w:rsidTr="00EF1917">
        <w:tc>
          <w:tcPr>
            <w:tcW w:w="0" w:type="auto"/>
            <w:vAlign w:val="center"/>
            <w:hideMark/>
          </w:tcPr>
          <w:p w14:paraId="29F59FCF" w14:textId="77777777" w:rsidR="008A4AAF" w:rsidRPr="00DE3887" w:rsidRDefault="008A4AAF" w:rsidP="008A4AA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F009AEB" w14:textId="77777777" w:rsidR="008A4AAF" w:rsidRPr="00DE3887" w:rsidRDefault="008A4AAF" w:rsidP="008A4AA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Decision drivers</w:t>
            </w:r>
          </w:p>
        </w:tc>
        <w:tc>
          <w:tcPr>
            <w:tcW w:w="6902" w:type="dxa"/>
            <w:hideMark/>
          </w:tcPr>
          <w:p w14:paraId="65441797" w14:textId="040AD0FD" w:rsidR="008A4AAF" w:rsidRPr="00DE3887" w:rsidRDefault="008A4AAF" w:rsidP="008A4AA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8A4AAF">
              <w:rPr>
                <w:rFonts w:ascii="Poppins" w:hAnsi="Poppins" w:cs="Poppins"/>
                <w:color w:val="044054"/>
                <w:sz w:val="20"/>
                <w:szCs w:val="20"/>
              </w:rPr>
              <w:t>Rank key drivers such as quality, technical fit, timing, cost, capacity, geography, communication and strategic fit.</w:t>
            </w:r>
          </w:p>
        </w:tc>
        <w:tc>
          <w:tcPr>
            <w:tcW w:w="5525" w:type="dxa"/>
            <w:vAlign w:val="center"/>
            <w:hideMark/>
          </w:tcPr>
          <w:p w14:paraId="0049DD1E" w14:textId="77777777" w:rsidR="008A4AAF" w:rsidRPr="00DE3887" w:rsidRDefault="008A4AAF" w:rsidP="008A4AAF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065FCDA" w14:textId="77777777" w:rsidTr="00935B71">
        <w:tc>
          <w:tcPr>
            <w:tcW w:w="0" w:type="auto"/>
            <w:vAlign w:val="center"/>
            <w:hideMark/>
          </w:tcPr>
          <w:p w14:paraId="219AB2D0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14:paraId="46CA8A89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Requirements</w:t>
            </w:r>
          </w:p>
        </w:tc>
        <w:tc>
          <w:tcPr>
            <w:tcW w:w="6902" w:type="dxa"/>
            <w:vAlign w:val="center"/>
            <w:hideMark/>
          </w:tcPr>
          <w:p w14:paraId="633193B7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Must-have requirements separated from preferences.</w:t>
            </w:r>
          </w:p>
        </w:tc>
        <w:tc>
          <w:tcPr>
            <w:tcW w:w="5525" w:type="dxa"/>
            <w:vAlign w:val="center"/>
            <w:hideMark/>
          </w:tcPr>
          <w:p w14:paraId="7FFCCD89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18CA379E" w14:textId="77777777" w:rsidTr="00935B71">
        <w:tc>
          <w:tcPr>
            <w:tcW w:w="0" w:type="auto"/>
            <w:vAlign w:val="center"/>
            <w:hideMark/>
          </w:tcPr>
          <w:p w14:paraId="03A2093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A496563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Compliance expectations</w:t>
            </w:r>
          </w:p>
        </w:tc>
        <w:tc>
          <w:tcPr>
            <w:tcW w:w="6902" w:type="dxa"/>
            <w:vAlign w:val="center"/>
            <w:hideMark/>
          </w:tcPr>
          <w:p w14:paraId="6CC38D4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Quality, GMP, regulatory, licence, health and safety, handling and containment expectations.</w:t>
            </w:r>
          </w:p>
        </w:tc>
        <w:tc>
          <w:tcPr>
            <w:tcW w:w="5525" w:type="dxa"/>
            <w:vAlign w:val="center"/>
            <w:hideMark/>
          </w:tcPr>
          <w:p w14:paraId="251103C4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63B0EFB0" w14:textId="77777777" w:rsidTr="00935B71">
        <w:tc>
          <w:tcPr>
            <w:tcW w:w="0" w:type="auto"/>
            <w:vAlign w:val="center"/>
            <w:hideMark/>
          </w:tcPr>
          <w:p w14:paraId="20C471D5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B4FAC28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Risk review</w:t>
            </w:r>
          </w:p>
        </w:tc>
        <w:tc>
          <w:tcPr>
            <w:tcW w:w="6902" w:type="dxa"/>
            <w:vAlign w:val="center"/>
            <w:hideMark/>
          </w:tcPr>
          <w:p w14:paraId="2A8C41B7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Likely technical, supply chain, timeline, regulatory, commercial and internal resource risks.</w:t>
            </w:r>
          </w:p>
        </w:tc>
        <w:tc>
          <w:tcPr>
            <w:tcW w:w="5525" w:type="dxa"/>
            <w:vAlign w:val="center"/>
            <w:hideMark/>
          </w:tcPr>
          <w:p w14:paraId="61C1D262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09BD385A" w14:textId="77777777" w:rsidTr="00935B71">
        <w:tc>
          <w:tcPr>
            <w:tcW w:w="0" w:type="auto"/>
            <w:vAlign w:val="center"/>
            <w:hideMark/>
          </w:tcPr>
          <w:p w14:paraId="15E816F8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3C5EE61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RFI or RFP decision</w:t>
            </w:r>
          </w:p>
        </w:tc>
        <w:tc>
          <w:tcPr>
            <w:tcW w:w="6902" w:type="dxa"/>
            <w:vAlign w:val="center"/>
            <w:hideMark/>
          </w:tcPr>
          <w:p w14:paraId="5B56C140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Confirm whether the next step is market screening or a detailed proposal request.</w:t>
            </w:r>
          </w:p>
        </w:tc>
        <w:tc>
          <w:tcPr>
            <w:tcW w:w="5525" w:type="dxa"/>
            <w:vAlign w:val="center"/>
            <w:hideMark/>
          </w:tcPr>
          <w:p w14:paraId="2A408F11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5945A80" w14:textId="77777777" w:rsidTr="00935B71">
        <w:tc>
          <w:tcPr>
            <w:tcW w:w="0" w:type="auto"/>
            <w:vAlign w:val="center"/>
            <w:hideMark/>
          </w:tcPr>
          <w:p w14:paraId="3B277883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4470CA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Provider information pack</w:t>
            </w:r>
          </w:p>
        </w:tc>
        <w:tc>
          <w:tcPr>
            <w:tcW w:w="6902" w:type="dxa"/>
            <w:vAlign w:val="center"/>
            <w:hideMark/>
          </w:tcPr>
          <w:p w14:paraId="64BE8045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Consistent information pack and response format to send to providers.</w:t>
            </w:r>
          </w:p>
        </w:tc>
        <w:tc>
          <w:tcPr>
            <w:tcW w:w="5525" w:type="dxa"/>
            <w:vAlign w:val="center"/>
            <w:hideMark/>
          </w:tcPr>
          <w:p w14:paraId="7B4BCA14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09B802CE" w14:textId="77777777" w:rsidTr="00935B71">
        <w:tc>
          <w:tcPr>
            <w:tcW w:w="0" w:type="auto"/>
            <w:vAlign w:val="center"/>
            <w:hideMark/>
          </w:tcPr>
          <w:p w14:paraId="4760B64B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43E3442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Comparison approach</w:t>
            </w:r>
          </w:p>
        </w:tc>
        <w:tc>
          <w:tcPr>
            <w:tcW w:w="6902" w:type="dxa"/>
            <w:vAlign w:val="center"/>
            <w:hideMark/>
          </w:tcPr>
          <w:p w14:paraId="4167C016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How providers will be compared before responses are received.</w:t>
            </w:r>
          </w:p>
        </w:tc>
        <w:tc>
          <w:tcPr>
            <w:tcW w:w="5525" w:type="dxa"/>
            <w:vAlign w:val="center"/>
            <w:hideMark/>
          </w:tcPr>
          <w:p w14:paraId="4440EC5A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76E3415F" w14:textId="77777777" w:rsidTr="00935B71">
        <w:tc>
          <w:tcPr>
            <w:tcW w:w="0" w:type="auto"/>
            <w:vAlign w:val="center"/>
            <w:hideMark/>
          </w:tcPr>
          <w:p w14:paraId="73503E99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87E6266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Internal ownership</w:t>
            </w:r>
          </w:p>
        </w:tc>
        <w:tc>
          <w:tcPr>
            <w:tcW w:w="6902" w:type="dxa"/>
            <w:vAlign w:val="center"/>
            <w:hideMark/>
          </w:tcPr>
          <w:p w14:paraId="5391D5C5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Owners for technical review, quality review, commercial review and final decision-making.</w:t>
            </w:r>
          </w:p>
        </w:tc>
        <w:tc>
          <w:tcPr>
            <w:tcW w:w="5525" w:type="dxa"/>
            <w:vAlign w:val="center"/>
            <w:hideMark/>
          </w:tcPr>
          <w:p w14:paraId="1CC2C3EE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60399AA" w14:textId="77777777" w:rsidTr="00935B71">
        <w:tc>
          <w:tcPr>
            <w:tcW w:w="0" w:type="auto"/>
            <w:vAlign w:val="center"/>
            <w:hideMark/>
          </w:tcPr>
          <w:p w14:paraId="074FD765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D06F72A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Selection timeline</w:t>
            </w:r>
          </w:p>
        </w:tc>
        <w:tc>
          <w:tcPr>
            <w:tcW w:w="6902" w:type="dxa"/>
            <w:vAlign w:val="center"/>
            <w:hideMark/>
          </w:tcPr>
          <w:p w14:paraId="2F44C5F3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Timeline for outreach, clarification, proposal review, due diligence and selection.</w:t>
            </w:r>
          </w:p>
        </w:tc>
        <w:tc>
          <w:tcPr>
            <w:tcW w:w="5525" w:type="dxa"/>
            <w:vAlign w:val="center"/>
            <w:hideMark/>
          </w:tcPr>
          <w:p w14:paraId="7C6ABDE3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40A9C7EC" w14:textId="77777777" w:rsidR="00935B71" w:rsidRPr="00DE3887" w:rsidRDefault="00935B71" w:rsidP="0074510D">
      <w:pPr>
        <w:rPr>
          <w:rFonts w:ascii="Poppins" w:hAnsi="Poppins" w:cs="Poppins"/>
          <w:color w:val="044054"/>
        </w:rPr>
      </w:pPr>
    </w:p>
    <w:p w14:paraId="4C13B654" w14:textId="7A4192CD" w:rsidR="0074510D" w:rsidRPr="00DE3887" w:rsidRDefault="0074510D" w:rsidP="0074510D">
      <w:pPr>
        <w:rPr>
          <w:rFonts w:ascii="Poppins" w:hAnsi="Poppins" w:cs="Poppins"/>
          <w:color w:val="044054"/>
        </w:rPr>
      </w:pPr>
      <w:r w:rsidRPr="00DE3887">
        <w:rPr>
          <w:rFonts w:ascii="Poppins" w:hAnsi="Poppins" w:cs="Poppins"/>
          <w:color w:val="044054"/>
        </w:rPr>
        <w:t>A balanced preparation template should make the project easier to understand, not harder to start. If a section cannot be completed, say so clearly and ask the provider how they would approach the gap.</w:t>
      </w:r>
    </w:p>
    <w:p w14:paraId="485FDC84" w14:textId="77777777" w:rsidR="00A04329" w:rsidRPr="00DE3887" w:rsidRDefault="00A04329">
      <w:pPr>
        <w:rPr>
          <w:rFonts w:ascii="Poppins" w:hAnsi="Poppins" w:cs="Poppins"/>
          <w:b/>
          <w:bCs/>
          <w:color w:val="044054"/>
        </w:rPr>
      </w:pPr>
    </w:p>
    <w:sectPr w:rsidR="00A04329" w:rsidRPr="00DE3887" w:rsidSect="00935B71">
      <w:headerReference w:type="default" r:id="rId10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745345" w14:textId="77777777" w:rsidR="00B24C0E" w:rsidRDefault="00B24C0E" w:rsidP="0074510D">
      <w:pPr>
        <w:spacing w:after="0" w:line="240" w:lineRule="auto"/>
      </w:pPr>
      <w:r>
        <w:separator/>
      </w:r>
    </w:p>
  </w:endnote>
  <w:endnote w:type="continuationSeparator" w:id="0">
    <w:p w14:paraId="3EE2AD47" w14:textId="77777777" w:rsidR="00B24C0E" w:rsidRDefault="00B24C0E" w:rsidP="0074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0DE89E" w14:textId="77777777" w:rsidR="00B24C0E" w:rsidRDefault="00B24C0E" w:rsidP="0074510D">
      <w:pPr>
        <w:spacing w:after="0" w:line="240" w:lineRule="auto"/>
      </w:pPr>
      <w:r>
        <w:separator/>
      </w:r>
    </w:p>
  </w:footnote>
  <w:footnote w:type="continuationSeparator" w:id="0">
    <w:p w14:paraId="74C8842D" w14:textId="77777777" w:rsidR="00B24C0E" w:rsidRDefault="00B24C0E" w:rsidP="0074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BEB1EF" w14:textId="5C27D190" w:rsidR="006E1512" w:rsidRDefault="009372A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7714FB10" wp14:editId="04B35984">
          <wp:simplePos x="0" y="0"/>
          <wp:positionH relativeFrom="margin">
            <wp:posOffset>-525101</wp:posOffset>
          </wp:positionH>
          <wp:positionV relativeFrom="margin">
            <wp:posOffset>-478293</wp:posOffset>
          </wp:positionV>
          <wp:extent cx="9966960" cy="6544945"/>
          <wp:effectExtent l="0" t="0" r="2540" b="0"/>
          <wp:wrapNone/>
          <wp:docPr id="2" name="WordPictureWatermark11666687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66668788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565" cy="65716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FAFA7E" w14:textId="4FE9FE59" w:rsidR="0074510D" w:rsidRDefault="0074510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0D"/>
    <w:rsid w:val="00050111"/>
    <w:rsid w:val="001B646A"/>
    <w:rsid w:val="001D718F"/>
    <w:rsid w:val="00234562"/>
    <w:rsid w:val="002679B5"/>
    <w:rsid w:val="002A6457"/>
    <w:rsid w:val="003F2419"/>
    <w:rsid w:val="003F366E"/>
    <w:rsid w:val="00476A56"/>
    <w:rsid w:val="00490906"/>
    <w:rsid w:val="00546947"/>
    <w:rsid w:val="00557CF6"/>
    <w:rsid w:val="00663DED"/>
    <w:rsid w:val="006E1512"/>
    <w:rsid w:val="0074510D"/>
    <w:rsid w:val="008A4AAF"/>
    <w:rsid w:val="008C148D"/>
    <w:rsid w:val="00935B71"/>
    <w:rsid w:val="009372AF"/>
    <w:rsid w:val="00A04329"/>
    <w:rsid w:val="00AC6386"/>
    <w:rsid w:val="00B24C0E"/>
    <w:rsid w:val="00B85CCE"/>
    <w:rsid w:val="00BD61DF"/>
    <w:rsid w:val="00C12D5C"/>
    <w:rsid w:val="00DE3887"/>
    <w:rsid w:val="00E70D34"/>
    <w:rsid w:val="00EC2624"/>
    <w:rsid w:val="00EC4C8C"/>
    <w:rsid w:val="00F447B0"/>
    <w:rsid w:val="00FC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76FA"/>
  <w15:chartTrackingRefBased/>
  <w15:docId w15:val="{4AD9DF93-A987-D045-84A3-2DB0FB0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D"/>
  </w:style>
  <w:style w:type="paragraph" w:styleId="Heading1">
    <w:name w:val="heading 1"/>
    <w:basedOn w:val="Normal"/>
    <w:next w:val="Normal"/>
    <w:link w:val="Heading1Char"/>
    <w:uiPriority w:val="9"/>
    <w:qFormat/>
    <w:rsid w:val="00234562"/>
    <w:pPr>
      <w:ind w:left="-851"/>
      <w:outlineLvl w:val="0"/>
    </w:pPr>
    <w:rPr>
      <w:rFonts w:ascii="Poppins" w:hAnsi="Poppins" w:cs="Poppins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562"/>
    <w:rPr>
      <w:rFonts w:ascii="Poppins" w:hAnsi="Poppins" w:cs="Poppins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45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1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0D"/>
    <w:rPr>
      <w:b/>
      <w:bCs/>
      <w:smallCaps/>
      <w:color w:val="2F5496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74510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  <w:style w:type="paragraph" w:styleId="Header">
    <w:name w:val="header"/>
    <w:basedOn w:val="Normal"/>
    <w:link w:val="Head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0D"/>
  </w:style>
  <w:style w:type="paragraph" w:styleId="Footer">
    <w:name w:val="footer"/>
    <w:basedOn w:val="Normal"/>
    <w:link w:val="Foot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C6501E2F03A84F98E16DB98B72114A" ma:contentTypeVersion="11" ma:contentTypeDescription="Create a new document." ma:contentTypeScope="" ma:versionID="d2112832677acf01d94e8d91d1059788">
  <xsd:schema xmlns:xsd="http://www.w3.org/2001/XMLSchema" xmlns:xs="http://www.w3.org/2001/XMLSchema" xmlns:p="http://schemas.microsoft.com/office/2006/metadata/properties" xmlns:ns2="2417d121-eb52-4a1b-aac4-f9042990a8cc" xmlns:ns3="6f9a5122-bb44-443e-a8dd-0c4745789b23" targetNamespace="http://schemas.microsoft.com/office/2006/metadata/properties" ma:root="true" ma:fieldsID="c0a5aa99ab712a7f83b55328f230ea49" ns2:_="" ns3:_="">
    <xsd:import namespace="2417d121-eb52-4a1b-aac4-f9042990a8cc"/>
    <xsd:import namespace="6f9a5122-bb44-443e-a8dd-0c4745789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d121-eb52-4a1b-aac4-f9042990a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73b51b-b3c0-4285-a284-10998cc1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a5122-bb44-443e-a8dd-0c4745789b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8ea6b-ca76-4789-962b-e5eca908eb9c}" ma:internalName="TaxCatchAll" ma:showField="CatchAllData" ma:web="6f9a5122-bb44-443e-a8dd-0c4745789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a5122-bb44-443e-a8dd-0c4745789b23" xsi:nil="true"/>
    <lcf76f155ced4ddcb4097134ff3c332f xmlns="2417d121-eb52-4a1b-aac4-f9042990a8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4FB190-2A63-48D3-A2CE-4CF4C94B3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7d121-eb52-4a1b-aac4-f9042990a8cc"/>
    <ds:schemaRef ds:uri="6f9a5122-bb44-443e-a8dd-0c4745789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75BC18-5C89-4B13-B99D-87D4A8005A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39D69E-2C00-48C6-8C47-3B15EA1F7038}">
  <ds:schemaRefs>
    <ds:schemaRef ds:uri="http://schemas.microsoft.com/office/2006/metadata/properties"/>
    <ds:schemaRef ds:uri="http://schemas.microsoft.com/office/infopath/2007/PartnerControls"/>
    <ds:schemaRef ds:uri="6f9a5122-bb44-443e-a8dd-0c4745789b23"/>
    <ds:schemaRef ds:uri="2417d121-eb52-4a1b-aac4-f9042990a8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481</Words>
  <Characters>1630</Characters>
  <Application>Microsoft Office Word</Application>
  <DocSecurity>0</DocSecurity>
  <Lines>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Geen</dc:creator>
  <cp:keywords/>
  <dc:description/>
  <cp:lastModifiedBy>Sunil Singh</cp:lastModifiedBy>
  <cp:revision>7</cp:revision>
  <dcterms:created xsi:type="dcterms:W3CDTF">2026-09-14T09:06:00Z</dcterms:created>
  <dcterms:modified xsi:type="dcterms:W3CDTF">2026-09-30T09:19:00Z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0x010100BCC6501E2F03A84F98E16DB98B72114A</vt:lpwstr>
  </property>
  <property fmtid="{D5CDD505-2E9C-101B-9397-08002B2CF9AE}" pid="3" name="MediaServiceImageTags">
    <vt:lpwstr/>
  </property>
</Properties>
</file>