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28F83B80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544AAEA2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</w:t>
      </w:r>
      <w:r w:rsidR="00D32F91">
        <w:rPr>
          <w:rFonts w:ascii="Poppins" w:hAnsi="Poppins" w:cs="Poppins"/>
          <w:color w:val="044054"/>
        </w:rPr>
        <w:t>CMO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7606433" w:rsidR="0074510D" w:rsidRPr="00DE3887" w:rsidRDefault="00D459DA" w:rsidP="00935B71">
      <w:pPr>
        <w:pStyle w:val="Heading1"/>
        <w:ind w:left="-850"/>
        <w:rPr>
          <w:color w:val="044054"/>
        </w:rPr>
      </w:pPr>
      <w:r w:rsidRPr="00D459DA">
        <w:rPr>
          <w:color w:val="044054"/>
        </w:rPr>
        <w:t>Service Provider Comparison</w:t>
      </w:r>
      <w:r w:rsidR="00816937">
        <w:rPr>
          <w:color w:val="044054"/>
        </w:rPr>
        <w:t xml:space="preserve"> </w:t>
      </w:r>
      <w:r w:rsidR="000D3BFE">
        <w:rPr>
          <w:color w:val="044054"/>
        </w:rPr>
        <w:t xml:space="preserve">and Ranking </w:t>
      </w:r>
      <w:r w:rsidR="00D32F91">
        <w:rPr>
          <w:color w:val="044054"/>
        </w:rPr>
        <w:t>Scorecards</w:t>
      </w:r>
    </w:p>
    <w:p w14:paraId="614BD26A" w14:textId="17734288" w:rsidR="00234562" w:rsidRDefault="001E2C1E" w:rsidP="00935B71">
      <w:pPr>
        <w:ind w:left="-851"/>
        <w:rPr>
          <w:rFonts w:ascii="Poppins" w:hAnsi="Poppins" w:cs="Poppins"/>
          <w:color w:val="044054"/>
        </w:rPr>
      </w:pPr>
      <w:r w:rsidRPr="001E2C1E">
        <w:rPr>
          <w:rFonts w:ascii="Poppins" w:hAnsi="Poppins" w:cs="Poppins"/>
          <w:color w:val="044054"/>
        </w:rPr>
        <w:t>Use these tables to compare providers consistently. Agree the weighting before responses are reviewed, then score each provider against the same criteria</w:t>
      </w:r>
      <w:r>
        <w:rPr>
          <w:rFonts w:ascii="Poppins" w:hAnsi="Poppins" w:cs="Poppins"/>
          <w:color w:val="044054"/>
        </w:rPr>
        <w:t>.</w:t>
      </w:r>
    </w:p>
    <w:p w14:paraId="1F35DA38" w14:textId="77777777" w:rsidR="003B2F55" w:rsidRPr="003B2F55" w:rsidRDefault="003B2F55" w:rsidP="003B2F5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b/>
          <w:bCs/>
          <w:color w:val="044054"/>
        </w:rPr>
        <w:t>Weighting guidance</w:t>
      </w:r>
      <w:r w:rsidRPr="003B2F55">
        <w:rPr>
          <w:rFonts w:ascii="Poppins" w:hAnsi="Poppins" w:cs="Poppins"/>
          <w:color w:val="044054"/>
        </w:rPr>
        <w:t> </w:t>
      </w:r>
    </w:p>
    <w:p w14:paraId="430557EF" w14:textId="00AA7A32" w:rsidR="003B2F55" w:rsidRDefault="003B2F55" w:rsidP="009C189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color w:val="044054"/>
        </w:rPr>
        <w:t>Set weightings before reviewing responses. Use a simple 1–5 weighting scale where 1 = low importance, 3 = important and 5 = critical. Score each provider separately using the same scale, then multiply weight by score to support a balanced comparison. </w:t>
      </w:r>
    </w:p>
    <w:tbl>
      <w:tblPr>
        <w:tblStyle w:val="GridTable4-Accent1"/>
        <w:tblW w:w="14976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49"/>
        <w:gridCol w:w="6243"/>
        <w:gridCol w:w="6184"/>
      </w:tblGrid>
      <w:tr w:rsidR="0069326C" w:rsidRPr="00DE3887" w14:paraId="4BE0DAD1" w14:textId="77777777" w:rsidTr="006E4B74">
        <w:tc>
          <w:tcPr>
            <w:tcW w:w="0" w:type="auto"/>
            <w:vAlign w:val="center"/>
            <w:hideMark/>
          </w:tcPr>
          <w:p w14:paraId="332B772A" w14:textId="58A5023B" w:rsidR="0069326C" w:rsidRPr="00DE3887" w:rsidRDefault="0069326C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Process</w:t>
            </w:r>
          </w:p>
        </w:tc>
        <w:tc>
          <w:tcPr>
            <w:tcW w:w="6243" w:type="dxa"/>
            <w:vAlign w:val="center"/>
            <w:hideMark/>
          </w:tcPr>
          <w:p w14:paraId="258747E6" w14:textId="45662F9A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Suggested weighting focus</w:t>
            </w:r>
          </w:p>
        </w:tc>
        <w:tc>
          <w:tcPr>
            <w:tcW w:w="6184" w:type="dxa"/>
            <w:vAlign w:val="center"/>
            <w:hideMark/>
          </w:tcPr>
          <w:p w14:paraId="51DDFA86" w14:textId="0F90035D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Guidance</w:t>
            </w:r>
          </w:p>
        </w:tc>
      </w:tr>
      <w:tr w:rsidR="0069326C" w:rsidRPr="00DE3887" w14:paraId="0D6B984C" w14:textId="77777777" w:rsidTr="006E4B74">
        <w:tc>
          <w:tcPr>
            <w:tcW w:w="0" w:type="auto"/>
            <w:vAlign w:val="center"/>
            <w:hideMark/>
          </w:tcPr>
          <w:p w14:paraId="463415EC" w14:textId="74A3207C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RFI </w:t>
            </w:r>
          </w:p>
        </w:tc>
        <w:tc>
          <w:tcPr>
            <w:tcW w:w="6243" w:type="dxa"/>
            <w:vAlign w:val="center"/>
            <w:hideMark/>
          </w:tcPr>
          <w:p w14:paraId="5739DD5E" w14:textId="5775129E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Capability, fit, compliance status, capacity and engagement. </w:t>
            </w:r>
          </w:p>
        </w:tc>
        <w:tc>
          <w:tcPr>
            <w:tcW w:w="6184" w:type="dxa"/>
            <w:vAlign w:val="center"/>
            <w:hideMark/>
          </w:tcPr>
          <w:p w14:paraId="61EE48CC" w14:textId="0F9B7ADE" w:rsidR="0069326C" w:rsidRPr="00DE3887" w:rsidRDefault="007D0700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Use RFI weightings to decide who should be shortlisted, not who should be awarded the work. Avoid over-weighting cost at this stage unless budget fit is a firm constraint.</w:t>
            </w:r>
          </w:p>
        </w:tc>
      </w:tr>
      <w:tr w:rsidR="0069326C" w:rsidRPr="00DE3887" w14:paraId="6235F36F" w14:textId="77777777" w:rsidTr="006E4B74">
        <w:tc>
          <w:tcPr>
            <w:tcW w:w="0" w:type="auto"/>
            <w:vAlign w:val="center"/>
            <w:hideMark/>
          </w:tcPr>
          <w:p w14:paraId="68C71B53" w14:textId="03BE6ECF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RFP </w:t>
            </w:r>
          </w:p>
        </w:tc>
        <w:tc>
          <w:tcPr>
            <w:tcW w:w="6243" w:type="dxa"/>
            <w:vAlign w:val="center"/>
            <w:hideMark/>
          </w:tcPr>
          <w:p w14:paraId="3970232F" w14:textId="49D0BFB8" w:rsidR="0069326C" w:rsidRPr="00DE3887" w:rsidRDefault="007D0700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Technical approach, quality/regulatory fit, timeline realism, risk management and commercial transparency. </w:t>
            </w:r>
          </w:p>
        </w:tc>
        <w:tc>
          <w:tcPr>
            <w:tcW w:w="6184" w:type="dxa"/>
            <w:vAlign w:val="center"/>
            <w:hideMark/>
          </w:tcPr>
          <w:p w14:paraId="1E02885C" w14:textId="782016AF" w:rsidR="0069326C" w:rsidRPr="00DE3887" w:rsidRDefault="006E4B74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E4B74">
              <w:rPr>
                <w:rFonts w:ascii="Poppins" w:hAnsi="Poppins" w:cs="Poppins"/>
                <w:color w:val="044054"/>
                <w:sz w:val="20"/>
                <w:szCs w:val="20"/>
              </w:rPr>
              <w:t>Use RFP weightings to test delivery confidence. Cost should be considered, but not allowed to outweigh technical, quality or timeline risk unless that reflects the agreed project priorities.</w:t>
            </w:r>
          </w:p>
        </w:tc>
      </w:tr>
    </w:tbl>
    <w:p w14:paraId="272CE858" w14:textId="77777777" w:rsidR="0069326C" w:rsidRDefault="0069326C" w:rsidP="00935B71">
      <w:pPr>
        <w:ind w:left="-851"/>
        <w:rPr>
          <w:rFonts w:ascii="Poppins" w:hAnsi="Poppins" w:cs="Poppins"/>
          <w:color w:val="044054"/>
        </w:rPr>
      </w:pPr>
    </w:p>
    <w:p w14:paraId="48298B65" w14:textId="134F755C" w:rsidR="0069326C" w:rsidRDefault="009C1895" w:rsidP="00935B71">
      <w:pPr>
        <w:ind w:left="-851"/>
        <w:rPr>
          <w:rFonts w:ascii="Poppins" w:hAnsi="Poppins" w:cs="Poppins"/>
          <w:color w:val="044054"/>
        </w:rPr>
      </w:pPr>
      <w:r w:rsidRPr="009C1895">
        <w:rPr>
          <w:rFonts w:ascii="Poppins" w:hAnsi="Poppins" w:cs="Poppins"/>
          <w:color w:val="044054"/>
        </w:rPr>
        <w:t>If a criterion is a true must-have, treat failure against it as a stop/go issue rather than a low score. Weightings should reflect the project milestone, not a generic view of what matters.</w:t>
      </w:r>
    </w:p>
    <w:p w14:paraId="28990AD8" w14:textId="77777777" w:rsidR="00D32F91" w:rsidRDefault="00D32F91">
      <w:pPr>
        <w:rPr>
          <w:rFonts w:ascii="Poppins" w:hAnsi="Poppins" w:cs="Poppins"/>
          <w:b/>
          <w:bCs/>
          <w:color w:val="044054"/>
        </w:rPr>
      </w:pPr>
      <w:r>
        <w:rPr>
          <w:rFonts w:ascii="Poppins" w:hAnsi="Poppins" w:cs="Poppins"/>
          <w:b/>
          <w:bCs/>
          <w:color w:val="044054"/>
        </w:rPr>
        <w:br w:type="page"/>
      </w:r>
    </w:p>
    <w:p w14:paraId="79C909EB" w14:textId="720210C8" w:rsidR="007D5F1A" w:rsidRPr="00DE3887" w:rsidRDefault="00591EB4" w:rsidP="00591EB4">
      <w:pPr>
        <w:ind w:left="-851"/>
        <w:rPr>
          <w:rFonts w:ascii="Poppins" w:hAnsi="Poppins" w:cs="Poppins"/>
          <w:color w:val="044054"/>
        </w:rPr>
      </w:pPr>
      <w:r w:rsidRPr="00591EB4">
        <w:rPr>
          <w:rFonts w:ascii="Poppins" w:hAnsi="Poppins" w:cs="Poppins"/>
          <w:b/>
          <w:bCs/>
          <w:color w:val="044054"/>
        </w:rPr>
        <w:lastRenderedPageBreak/>
        <w:t xml:space="preserve">RFI comparison and ranking </w:t>
      </w:r>
      <w:r w:rsidR="00D32F91">
        <w:rPr>
          <w:rFonts w:ascii="Poppins" w:hAnsi="Poppins" w:cs="Poppins"/>
          <w:b/>
          <w:bCs/>
          <w:color w:val="044054"/>
        </w:rPr>
        <w:t>scorecard</w:t>
      </w:r>
      <w:r w:rsidRPr="00591EB4">
        <w:rPr>
          <w:rFonts w:ascii="Poppins" w:hAnsi="Poppins" w:cs="Poppins"/>
          <w:color w:val="044054"/>
        </w:rPr>
        <w:t> 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B43338" w:rsidRPr="00DE3887" w14:paraId="7A4AA2D1" w14:textId="77777777" w:rsidTr="00374394">
        <w:tc>
          <w:tcPr>
            <w:tcW w:w="2251" w:type="dxa"/>
            <w:vAlign w:val="center"/>
            <w:hideMark/>
          </w:tcPr>
          <w:p w14:paraId="0B0CCA37" w14:textId="362A8E1A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04B646DF" w14:textId="5EC81052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FC996E7" w14:textId="5644CCF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3F658570" w14:textId="09845BEF" w:rsidR="00B43338" w:rsidRDefault="00B43338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53AEF71B" w14:textId="3E93991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B43338" w:rsidRPr="00DE3887" w14:paraId="70227B2C" w14:textId="77777777" w:rsidTr="00374394">
        <w:tc>
          <w:tcPr>
            <w:tcW w:w="2251" w:type="dxa"/>
            <w:vAlign w:val="center"/>
          </w:tcPr>
          <w:p w14:paraId="1C552E3B" w14:textId="102A3EE6" w:rsidR="00B43338" w:rsidRPr="00DE3887" w:rsidRDefault="00591EB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91EB4">
              <w:rPr>
                <w:rFonts w:ascii="Poppins" w:hAnsi="Poppins" w:cs="Poppins"/>
                <w:color w:val="044054"/>
                <w:sz w:val="20"/>
                <w:szCs w:val="20"/>
              </w:rPr>
              <w:t>Capability fit </w:t>
            </w:r>
          </w:p>
        </w:tc>
        <w:tc>
          <w:tcPr>
            <w:tcW w:w="6258" w:type="dxa"/>
            <w:vAlign w:val="center"/>
          </w:tcPr>
          <w:p w14:paraId="0ADB3C1E" w14:textId="622F7A04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Can the provider perform the required service, technology, dosage form or activity? </w:t>
            </w:r>
          </w:p>
        </w:tc>
        <w:tc>
          <w:tcPr>
            <w:tcW w:w="1134" w:type="dxa"/>
            <w:vAlign w:val="center"/>
          </w:tcPr>
          <w:p w14:paraId="179E0499" w14:textId="7BB8F41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F5F5C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4230FD1" w14:textId="14B96E0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630D75FD" w14:textId="77777777" w:rsidTr="00374394">
        <w:tc>
          <w:tcPr>
            <w:tcW w:w="2251" w:type="dxa"/>
            <w:vAlign w:val="center"/>
          </w:tcPr>
          <w:p w14:paraId="75DC344D" w14:textId="67D6ED7E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Relevant experience</w:t>
            </w:r>
          </w:p>
        </w:tc>
        <w:tc>
          <w:tcPr>
            <w:tcW w:w="6258" w:type="dxa"/>
            <w:vAlign w:val="center"/>
          </w:tcPr>
          <w:p w14:paraId="1BCF6EC7" w14:textId="73C2C92E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Has the provider worked on similar products, stages, scales or technical challenges?</w:t>
            </w:r>
          </w:p>
        </w:tc>
        <w:tc>
          <w:tcPr>
            <w:tcW w:w="1134" w:type="dxa"/>
            <w:vAlign w:val="center"/>
          </w:tcPr>
          <w:p w14:paraId="7FD9850E" w14:textId="5066A1D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5039B5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6D27633" w14:textId="7FEDBBF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F10E208" w14:textId="77777777" w:rsidTr="00374394">
        <w:tc>
          <w:tcPr>
            <w:tcW w:w="2251" w:type="dxa"/>
            <w:vAlign w:val="center"/>
          </w:tcPr>
          <w:p w14:paraId="16746798" w14:textId="6727ACCF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GMP, licence and compliance fit</w:t>
            </w:r>
          </w:p>
        </w:tc>
        <w:tc>
          <w:tcPr>
            <w:tcW w:w="6258" w:type="dxa"/>
            <w:vAlign w:val="center"/>
          </w:tcPr>
          <w:p w14:paraId="0AB6EF4A" w14:textId="7EF17034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Does the provider appear to have the right quality status, licences and regulatory experience?</w:t>
            </w:r>
          </w:p>
        </w:tc>
        <w:tc>
          <w:tcPr>
            <w:tcW w:w="1134" w:type="dxa"/>
            <w:vAlign w:val="center"/>
          </w:tcPr>
          <w:p w14:paraId="27069EC9" w14:textId="6ECEF58E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574D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440641A3" w14:textId="6FE9A6E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4344F7F" w14:textId="77777777" w:rsidTr="00374394">
        <w:tc>
          <w:tcPr>
            <w:tcW w:w="2251" w:type="dxa"/>
            <w:vAlign w:val="center"/>
          </w:tcPr>
          <w:p w14:paraId="05BC2241" w14:textId="7CD587D6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Capacity and timing</w:t>
            </w:r>
          </w:p>
        </w:tc>
        <w:tc>
          <w:tcPr>
            <w:tcW w:w="6258" w:type="dxa"/>
            <w:vAlign w:val="center"/>
          </w:tcPr>
          <w:p w14:paraId="1D7AC6D2" w14:textId="4BF21F50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Is there likely capacity within the required timeframe? </w:t>
            </w:r>
          </w:p>
        </w:tc>
        <w:tc>
          <w:tcPr>
            <w:tcW w:w="1134" w:type="dxa"/>
            <w:vAlign w:val="center"/>
          </w:tcPr>
          <w:p w14:paraId="0A2A2A67" w14:textId="6CFE5D04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4F4F50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EA9692B" w14:textId="7BC5B21F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0AEFBB6B" w14:textId="77777777" w:rsidTr="00374394">
        <w:tc>
          <w:tcPr>
            <w:tcW w:w="2251" w:type="dxa"/>
            <w:vAlign w:val="center"/>
          </w:tcPr>
          <w:p w14:paraId="35DA6971" w14:textId="1148ABBF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Handling and facility fit</w:t>
            </w:r>
          </w:p>
        </w:tc>
        <w:tc>
          <w:tcPr>
            <w:tcW w:w="6258" w:type="dxa"/>
            <w:vAlign w:val="center"/>
          </w:tcPr>
          <w:p w14:paraId="170BF7A2" w14:textId="6DAA9AE3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Can the provider manage containment, safety, storage, cold chain or specialist handling needs?</w:t>
            </w:r>
          </w:p>
        </w:tc>
        <w:tc>
          <w:tcPr>
            <w:tcW w:w="1134" w:type="dxa"/>
            <w:vAlign w:val="center"/>
          </w:tcPr>
          <w:p w14:paraId="4127C4B0" w14:textId="38DC741F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7B151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DB16EAD" w14:textId="5A918A68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CB47289" w14:textId="77777777" w:rsidTr="00374394">
        <w:tc>
          <w:tcPr>
            <w:tcW w:w="2251" w:type="dxa"/>
            <w:vAlign w:val="center"/>
          </w:tcPr>
          <w:p w14:paraId="29F59FCF" w14:textId="58A4C7CA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Strategic fit</w:t>
            </w:r>
          </w:p>
        </w:tc>
        <w:tc>
          <w:tcPr>
            <w:tcW w:w="6258" w:type="dxa"/>
            <w:vAlign w:val="center"/>
          </w:tcPr>
          <w:p w14:paraId="4F009AEB" w14:textId="6B7A743A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Does the provider type match the outsourcing strategy?</w:t>
            </w:r>
          </w:p>
        </w:tc>
        <w:tc>
          <w:tcPr>
            <w:tcW w:w="1134" w:type="dxa"/>
            <w:vAlign w:val="center"/>
          </w:tcPr>
          <w:p w14:paraId="65441797" w14:textId="70B1702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D07AA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049DD1E" w14:textId="3B6CD17A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2065FCDA" w14:textId="77777777" w:rsidTr="00374394">
        <w:tc>
          <w:tcPr>
            <w:tcW w:w="2251" w:type="dxa"/>
            <w:vMerge w:val="restart"/>
            <w:vAlign w:val="center"/>
          </w:tcPr>
          <w:p w14:paraId="219AB2D0" w14:textId="06105100" w:rsidR="008D684B" w:rsidRPr="00DE3887" w:rsidRDefault="008D684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Commercial fit</w:t>
            </w:r>
          </w:p>
        </w:tc>
        <w:tc>
          <w:tcPr>
            <w:tcW w:w="6258" w:type="dxa"/>
            <w:vAlign w:val="center"/>
          </w:tcPr>
          <w:p w14:paraId="46CA8A89" w14:textId="52FF6E2A" w:rsidR="008D684B" w:rsidRPr="00DE3887" w:rsidRDefault="008D684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Does the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provider meet the commercial expectations in terms of:</w:t>
            </w:r>
          </w:p>
        </w:tc>
        <w:tc>
          <w:tcPr>
            <w:tcW w:w="1134" w:type="dxa"/>
            <w:vAlign w:val="center"/>
          </w:tcPr>
          <w:p w14:paraId="633193B7" w14:textId="58B09843" w:rsidR="008D684B" w:rsidRPr="00DE3887" w:rsidRDefault="008D684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318BC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FFCCD89" w14:textId="66623B20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212C8543" w14:textId="77777777" w:rsidTr="00374394">
        <w:tc>
          <w:tcPr>
            <w:tcW w:w="2251" w:type="dxa"/>
            <w:vMerge/>
            <w:vAlign w:val="center"/>
          </w:tcPr>
          <w:p w14:paraId="1CBCC80E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11537A26" w14:textId="28076E33" w:rsidR="008D684B" w:rsidRPr="00C80C5C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COGs</w:t>
            </w:r>
          </w:p>
        </w:tc>
        <w:tc>
          <w:tcPr>
            <w:tcW w:w="1134" w:type="dxa"/>
            <w:vAlign w:val="center"/>
          </w:tcPr>
          <w:p w14:paraId="4A81B059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5732CA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6844598E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1B37E9C0" w14:textId="77777777" w:rsidTr="00374394">
        <w:tc>
          <w:tcPr>
            <w:tcW w:w="2251" w:type="dxa"/>
            <w:vMerge/>
            <w:vAlign w:val="center"/>
          </w:tcPr>
          <w:p w14:paraId="1E13A76C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730A8FE1" w14:textId="0D063463" w:rsidR="008D684B" w:rsidRPr="00C80C5C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Target cost per saleable unit</w:t>
            </w:r>
          </w:p>
        </w:tc>
        <w:tc>
          <w:tcPr>
            <w:tcW w:w="1134" w:type="dxa"/>
            <w:vAlign w:val="center"/>
          </w:tcPr>
          <w:p w14:paraId="773EAD09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812DAD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08C225FC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265B7C84" w14:textId="77777777" w:rsidTr="00374394">
        <w:tc>
          <w:tcPr>
            <w:tcW w:w="2251" w:type="dxa"/>
            <w:vMerge/>
            <w:vAlign w:val="center"/>
          </w:tcPr>
          <w:p w14:paraId="22C8D463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0D889922" w14:textId="3F10AA7C" w:rsidR="008D684B" w:rsidRPr="00C80C5C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Batch size</w:t>
            </w:r>
          </w:p>
        </w:tc>
        <w:tc>
          <w:tcPr>
            <w:tcW w:w="1134" w:type="dxa"/>
            <w:vAlign w:val="center"/>
          </w:tcPr>
          <w:p w14:paraId="4C67658C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AF8E8A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2AFC2671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2F5C7EA0" w14:textId="77777777" w:rsidTr="00374394">
        <w:tc>
          <w:tcPr>
            <w:tcW w:w="2251" w:type="dxa"/>
            <w:vMerge/>
            <w:vAlign w:val="center"/>
          </w:tcPr>
          <w:p w14:paraId="2D49CE25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0376252E" w14:textId="76B1A0B5" w:rsidR="008D684B" w:rsidRPr="00C80C5C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Markets</w:t>
            </w:r>
          </w:p>
        </w:tc>
        <w:tc>
          <w:tcPr>
            <w:tcW w:w="1134" w:type="dxa"/>
            <w:vAlign w:val="center"/>
          </w:tcPr>
          <w:p w14:paraId="667D10FA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013AA8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5343831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3A95D3B9" w14:textId="77777777" w:rsidTr="00374394">
        <w:tc>
          <w:tcPr>
            <w:tcW w:w="2251" w:type="dxa"/>
            <w:vMerge/>
            <w:vAlign w:val="center"/>
          </w:tcPr>
          <w:p w14:paraId="578134B4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12CFB908" w14:textId="71A1341E" w:rsidR="008D684B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Annual forecast volumes</w:t>
            </w:r>
          </w:p>
        </w:tc>
        <w:tc>
          <w:tcPr>
            <w:tcW w:w="1134" w:type="dxa"/>
            <w:vAlign w:val="center"/>
          </w:tcPr>
          <w:p w14:paraId="45FA2100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D0E693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142A6C9F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684B" w:rsidRPr="00DE3887" w14:paraId="1BDD7B56" w14:textId="77777777" w:rsidTr="00374394">
        <w:tc>
          <w:tcPr>
            <w:tcW w:w="2251" w:type="dxa"/>
            <w:vMerge/>
            <w:vAlign w:val="center"/>
          </w:tcPr>
          <w:p w14:paraId="639ACB2E" w14:textId="77777777" w:rsidR="008D684B" w:rsidRPr="009B6A4D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6258" w:type="dxa"/>
            <w:vAlign w:val="center"/>
          </w:tcPr>
          <w:p w14:paraId="44719F91" w14:textId="115FF385" w:rsidR="008D684B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Maximum cost-to-serve</w:t>
            </w:r>
          </w:p>
        </w:tc>
        <w:tc>
          <w:tcPr>
            <w:tcW w:w="1134" w:type="dxa"/>
            <w:vAlign w:val="center"/>
          </w:tcPr>
          <w:p w14:paraId="5603612E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B403F1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47081369" w14:textId="77777777" w:rsidR="008D684B" w:rsidRPr="00DE3887" w:rsidRDefault="008D684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8CA379E" w14:textId="77777777" w:rsidTr="00374394">
        <w:tc>
          <w:tcPr>
            <w:tcW w:w="2251" w:type="dxa"/>
            <w:vAlign w:val="center"/>
          </w:tcPr>
          <w:p w14:paraId="03A2093F" w14:textId="3D32A14B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Quality of response</w:t>
            </w:r>
          </w:p>
        </w:tc>
        <w:tc>
          <w:tcPr>
            <w:tcW w:w="6258" w:type="dxa"/>
            <w:vAlign w:val="center"/>
          </w:tcPr>
          <w:p w14:paraId="7A496563" w14:textId="71AA1CDF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Was the response clear, relevant, factual and specific rather than generic?</w:t>
            </w:r>
          </w:p>
        </w:tc>
        <w:tc>
          <w:tcPr>
            <w:tcW w:w="1134" w:type="dxa"/>
            <w:vAlign w:val="center"/>
          </w:tcPr>
          <w:p w14:paraId="6CC38D4F" w14:textId="4A5AEB0A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9989F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51103C4" w14:textId="53CC75A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6D19FDA" w14:textId="77777777" w:rsidTr="00374394">
        <w:tc>
          <w:tcPr>
            <w:tcW w:w="2251" w:type="dxa"/>
            <w:vAlign w:val="center"/>
          </w:tcPr>
          <w:p w14:paraId="22E21870" w14:textId="353635DF" w:rsidR="00B43338" w:rsidRPr="00DE3887" w:rsidRDefault="009B6A4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Engagement and problem solving</w:t>
            </w:r>
          </w:p>
        </w:tc>
        <w:tc>
          <w:tcPr>
            <w:tcW w:w="6258" w:type="dxa"/>
            <w:vAlign w:val="center"/>
          </w:tcPr>
          <w:p w14:paraId="56D03FC7" w14:textId="399D6E1E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Did the provider ask useful questions, identify risks and explain how gaps would be managed?</w:t>
            </w:r>
          </w:p>
        </w:tc>
        <w:tc>
          <w:tcPr>
            <w:tcW w:w="1134" w:type="dxa"/>
            <w:vAlign w:val="center"/>
          </w:tcPr>
          <w:p w14:paraId="0E2B8CE3" w14:textId="53BD3D09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99D28E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7C8A0E7" w14:textId="5B40C386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88CA274" w14:textId="77777777" w:rsidTr="00374394">
        <w:tc>
          <w:tcPr>
            <w:tcW w:w="2251" w:type="dxa"/>
            <w:vAlign w:val="center"/>
          </w:tcPr>
          <w:p w14:paraId="34FA6235" w14:textId="6442846B" w:rsidR="00B43338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Decision</w:t>
            </w:r>
          </w:p>
        </w:tc>
        <w:tc>
          <w:tcPr>
            <w:tcW w:w="6258" w:type="dxa"/>
            <w:vAlign w:val="center"/>
          </w:tcPr>
          <w:p w14:paraId="04966A0B" w14:textId="16A093D7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Shortlist for RFP, hold for later, or remove from consideration. </w:t>
            </w:r>
          </w:p>
        </w:tc>
        <w:tc>
          <w:tcPr>
            <w:tcW w:w="1134" w:type="dxa"/>
            <w:vAlign w:val="center"/>
          </w:tcPr>
          <w:p w14:paraId="196ED2DC" w14:textId="5BA07BBF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9757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4B9BF180" w14:textId="17FB827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85FDC84" w14:textId="35F88CF7" w:rsidR="00A04329" w:rsidRDefault="00A04329">
      <w:pPr>
        <w:rPr>
          <w:rFonts w:ascii="Poppins" w:hAnsi="Poppins" w:cs="Poppins"/>
          <w:b/>
          <w:bCs/>
          <w:color w:val="044054"/>
        </w:rPr>
      </w:pPr>
    </w:p>
    <w:p w14:paraId="7F57B16A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526BCF9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5236E7A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E6008F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945704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6A4AC3C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B9ABB3E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B9BEAD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C81E2B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3F9E17B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ADC73A1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58C9188" w14:textId="508DAC20" w:rsidR="00A26125" w:rsidRDefault="00A26125">
      <w:pPr>
        <w:rPr>
          <w:rFonts w:ascii="Poppins" w:hAnsi="Poppins" w:cs="Poppins"/>
          <w:b/>
          <w:bCs/>
          <w:color w:val="044054"/>
        </w:rPr>
      </w:pPr>
      <w:r w:rsidRPr="00A26125">
        <w:rPr>
          <w:rFonts w:ascii="Poppins" w:hAnsi="Poppins" w:cs="Poppins"/>
          <w:b/>
          <w:bCs/>
          <w:color w:val="044054"/>
        </w:rPr>
        <w:t xml:space="preserve">RFP comparison and ranking </w:t>
      </w:r>
      <w:r w:rsidR="008D684B">
        <w:rPr>
          <w:rFonts w:ascii="Poppins" w:hAnsi="Poppins" w:cs="Poppins"/>
          <w:b/>
          <w:bCs/>
          <w:color w:val="044054"/>
        </w:rPr>
        <w:t>scorecard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A26125" w:rsidRPr="00DE3887" w14:paraId="3148DD42" w14:textId="77777777" w:rsidTr="00FF4902">
        <w:tc>
          <w:tcPr>
            <w:tcW w:w="2251" w:type="dxa"/>
            <w:vAlign w:val="center"/>
            <w:hideMark/>
          </w:tcPr>
          <w:p w14:paraId="0B24B8F1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1AD7A37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DA78CC9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7FD0D275" w14:textId="77777777" w:rsidR="00A26125" w:rsidRDefault="00A26125" w:rsidP="00FF4902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0926D1B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A26125" w:rsidRPr="00DE3887" w14:paraId="13030991" w14:textId="77777777" w:rsidTr="00FF4902">
        <w:tc>
          <w:tcPr>
            <w:tcW w:w="2251" w:type="dxa"/>
            <w:vAlign w:val="center"/>
          </w:tcPr>
          <w:p w14:paraId="535CFD26" w14:textId="4D686B9D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Technical approach</w:t>
            </w:r>
          </w:p>
        </w:tc>
        <w:tc>
          <w:tcPr>
            <w:tcW w:w="6258" w:type="dxa"/>
            <w:vAlign w:val="center"/>
          </w:tcPr>
          <w:p w14:paraId="31688248" w14:textId="6031CD89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Is the proposed approach suitable, realistic and aligned to the project milestone?</w:t>
            </w:r>
          </w:p>
        </w:tc>
        <w:tc>
          <w:tcPr>
            <w:tcW w:w="1134" w:type="dxa"/>
            <w:vAlign w:val="center"/>
          </w:tcPr>
          <w:p w14:paraId="115AD814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203B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0986FBB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C3FC2DF" w14:textId="77777777" w:rsidTr="00FF4902">
        <w:tc>
          <w:tcPr>
            <w:tcW w:w="2251" w:type="dxa"/>
            <w:vAlign w:val="center"/>
          </w:tcPr>
          <w:p w14:paraId="7692AEBA" w14:textId="1D8264F7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Scope and deliverables </w:t>
            </w:r>
          </w:p>
        </w:tc>
        <w:tc>
          <w:tcPr>
            <w:tcW w:w="6258" w:type="dxa"/>
            <w:vAlign w:val="center"/>
          </w:tcPr>
          <w:p w14:paraId="74461878" w14:textId="4394B12A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the deliverables clear, complete and consistent with what was requested?</w:t>
            </w:r>
          </w:p>
        </w:tc>
        <w:tc>
          <w:tcPr>
            <w:tcW w:w="1134" w:type="dxa"/>
            <w:vAlign w:val="center"/>
          </w:tcPr>
          <w:p w14:paraId="40259A0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92975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BC4E9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099E24C3" w14:textId="77777777" w:rsidTr="00FF4902">
        <w:tc>
          <w:tcPr>
            <w:tcW w:w="2251" w:type="dxa"/>
            <w:vAlign w:val="center"/>
          </w:tcPr>
          <w:p w14:paraId="4523D554" w14:textId="3BE249F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Assumptions and exclusions</w:t>
            </w:r>
          </w:p>
        </w:tc>
        <w:tc>
          <w:tcPr>
            <w:tcW w:w="6258" w:type="dxa"/>
            <w:vAlign w:val="center"/>
          </w:tcPr>
          <w:p w14:paraId="0ABBDC13" w14:textId="7FFF26C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assumptions, exclusions, dependencies and sponsor responsibilities clearly stated?</w:t>
            </w:r>
          </w:p>
        </w:tc>
        <w:tc>
          <w:tcPr>
            <w:tcW w:w="1134" w:type="dxa"/>
            <w:vAlign w:val="center"/>
          </w:tcPr>
          <w:p w14:paraId="63F66F3C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1642B1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109375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559C58E6" w14:textId="77777777" w:rsidTr="00FF4902">
        <w:tc>
          <w:tcPr>
            <w:tcW w:w="2251" w:type="dxa"/>
            <w:vAlign w:val="center"/>
          </w:tcPr>
          <w:p w14:paraId="12F507A9" w14:textId="3D4D90C5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Quality and regulatory fit</w:t>
            </w:r>
          </w:p>
        </w:tc>
        <w:tc>
          <w:tcPr>
            <w:tcW w:w="6258" w:type="dxa"/>
            <w:vAlign w:val="center"/>
          </w:tcPr>
          <w:p w14:paraId="5D33A86C" w14:textId="39C770AD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Does the proposal meet GMP, documentation, release, licence and regulatory expectations?</w:t>
            </w:r>
          </w:p>
        </w:tc>
        <w:tc>
          <w:tcPr>
            <w:tcW w:w="1134" w:type="dxa"/>
            <w:vAlign w:val="center"/>
          </w:tcPr>
          <w:p w14:paraId="21D122C2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2F390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AC99FE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4FF7997" w14:textId="77777777" w:rsidTr="00FF4902">
        <w:tc>
          <w:tcPr>
            <w:tcW w:w="2251" w:type="dxa"/>
            <w:vAlign w:val="center"/>
          </w:tcPr>
          <w:p w14:paraId="6A0B4F2A" w14:textId="236A09E4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Analytical and technical depth</w:t>
            </w:r>
          </w:p>
        </w:tc>
        <w:tc>
          <w:tcPr>
            <w:tcW w:w="6258" w:type="dxa"/>
            <w:vAlign w:val="center"/>
          </w:tcPr>
          <w:p w14:paraId="4EE8E668" w14:textId="0F388665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Are analytical, formulation, process, stability, packaging and release needs properly addressed?</w:t>
            </w:r>
          </w:p>
        </w:tc>
        <w:tc>
          <w:tcPr>
            <w:tcW w:w="1134" w:type="dxa"/>
            <w:vAlign w:val="center"/>
          </w:tcPr>
          <w:p w14:paraId="57DC100D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60AE9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817D2D2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2C6B1044" w14:textId="77777777" w:rsidTr="00FF4902">
        <w:tc>
          <w:tcPr>
            <w:tcW w:w="2251" w:type="dxa"/>
            <w:vAlign w:val="center"/>
          </w:tcPr>
          <w:p w14:paraId="27E84B48" w14:textId="09D234B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Timeline realism</w:t>
            </w:r>
          </w:p>
        </w:tc>
        <w:tc>
          <w:tcPr>
            <w:tcW w:w="6258" w:type="dxa"/>
            <w:vAlign w:val="center"/>
          </w:tcPr>
          <w:p w14:paraId="159CD031" w14:textId="39F2147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Is the timeline credible, with clear dependencies, decision points and lead times?</w:t>
            </w:r>
          </w:p>
        </w:tc>
        <w:tc>
          <w:tcPr>
            <w:tcW w:w="1134" w:type="dxa"/>
            <w:vAlign w:val="center"/>
          </w:tcPr>
          <w:p w14:paraId="3BEBA2C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0378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3EF3FB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6842DE2" w14:textId="77777777" w:rsidTr="00FF4902">
        <w:tc>
          <w:tcPr>
            <w:tcW w:w="2251" w:type="dxa"/>
            <w:vAlign w:val="center"/>
          </w:tcPr>
          <w:p w14:paraId="225BC590" w14:textId="44C78B32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Resource and project management</w:t>
            </w:r>
          </w:p>
        </w:tc>
        <w:tc>
          <w:tcPr>
            <w:tcW w:w="6258" w:type="dxa"/>
            <w:vAlign w:val="center"/>
          </w:tcPr>
          <w:p w14:paraId="35B6FC61" w14:textId="2F9F4F83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Is there a credible team, governance model, communication route and escalation process?</w:t>
            </w:r>
          </w:p>
        </w:tc>
        <w:tc>
          <w:tcPr>
            <w:tcW w:w="1134" w:type="dxa"/>
            <w:vAlign w:val="center"/>
          </w:tcPr>
          <w:p w14:paraId="47FCF1A0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CE5F8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3417D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4C0D136" w14:textId="77777777" w:rsidTr="00FF4902">
        <w:tc>
          <w:tcPr>
            <w:tcW w:w="2251" w:type="dxa"/>
            <w:vAlign w:val="center"/>
          </w:tcPr>
          <w:p w14:paraId="57E12492" w14:textId="75BD70D7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Risk management</w:t>
            </w:r>
          </w:p>
        </w:tc>
        <w:tc>
          <w:tcPr>
            <w:tcW w:w="6258" w:type="dxa"/>
            <w:vAlign w:val="center"/>
          </w:tcPr>
          <w:p w14:paraId="7344E8CD" w14:textId="3FD9B8AA" w:rsidR="00A26125" w:rsidRPr="00DE3887" w:rsidRDefault="00BD164E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Has the provider identified key technical, quality, supply chain, timeline and commercial risks?</w:t>
            </w:r>
          </w:p>
        </w:tc>
        <w:tc>
          <w:tcPr>
            <w:tcW w:w="1134" w:type="dxa"/>
            <w:vAlign w:val="center"/>
          </w:tcPr>
          <w:p w14:paraId="35A3F2AA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A136B3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CBC742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266646E" w14:textId="77777777" w:rsidTr="00FF4902">
        <w:tc>
          <w:tcPr>
            <w:tcW w:w="2251" w:type="dxa"/>
            <w:vAlign w:val="center"/>
          </w:tcPr>
          <w:p w14:paraId="3426E4AD" w14:textId="647CECD0" w:rsidR="00A26125" w:rsidRPr="00DE3887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Commercial transparency</w:t>
            </w:r>
          </w:p>
        </w:tc>
        <w:tc>
          <w:tcPr>
            <w:tcW w:w="6258" w:type="dxa"/>
            <w:vAlign w:val="center"/>
          </w:tcPr>
          <w:p w14:paraId="531F9571" w14:textId="7B2487CF" w:rsidR="00A26125" w:rsidRPr="00147D02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Are pricing, payment assumptions, optional costs, change controls and exclusions clear?</w:t>
            </w:r>
          </w:p>
        </w:tc>
        <w:tc>
          <w:tcPr>
            <w:tcW w:w="1134" w:type="dxa"/>
            <w:vAlign w:val="center"/>
          </w:tcPr>
          <w:p w14:paraId="7DB4ECA9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E7FCB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ED6D2E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359FB3A1" w14:textId="77777777" w:rsidTr="00FF4902">
        <w:tc>
          <w:tcPr>
            <w:tcW w:w="2251" w:type="dxa"/>
            <w:vAlign w:val="center"/>
          </w:tcPr>
          <w:p w14:paraId="7D278887" w14:textId="35EB5A4B" w:rsidR="00A26125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Capacity and continuity</w:t>
            </w:r>
          </w:p>
        </w:tc>
        <w:tc>
          <w:tcPr>
            <w:tcW w:w="6258" w:type="dxa"/>
            <w:vAlign w:val="center"/>
          </w:tcPr>
          <w:p w14:paraId="70ADA890" w14:textId="48D06742" w:rsidR="00A2612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Can the provider support the work now and </w:t>
            </w:r>
            <w:r w:rsidR="008D684B">
              <w:rPr>
                <w:rFonts w:ascii="Poppins" w:hAnsi="Poppins" w:cs="Poppins"/>
                <w:color w:val="044054"/>
                <w:sz w:val="20"/>
                <w:szCs w:val="20"/>
              </w:rPr>
              <w:t>beyond (future scalability)</w:t>
            </w: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?</w:t>
            </w:r>
          </w:p>
        </w:tc>
        <w:tc>
          <w:tcPr>
            <w:tcW w:w="1134" w:type="dxa"/>
            <w:vAlign w:val="center"/>
          </w:tcPr>
          <w:p w14:paraId="51289087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3D5A65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8C195E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174A9F7" w14:textId="77777777" w:rsidTr="00FF4902">
        <w:tc>
          <w:tcPr>
            <w:tcW w:w="2251" w:type="dxa"/>
            <w:vAlign w:val="center"/>
          </w:tcPr>
          <w:p w14:paraId="1612B977" w14:textId="42137498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t>Communication and responsiveness</w:t>
            </w:r>
          </w:p>
        </w:tc>
        <w:tc>
          <w:tcPr>
            <w:tcW w:w="6258" w:type="dxa"/>
            <w:vAlign w:val="center"/>
          </w:tcPr>
          <w:p w14:paraId="6761CEDD" w14:textId="7512C450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t>Has the provider been clear, timely and constructive during clarification?</w:t>
            </w:r>
          </w:p>
        </w:tc>
        <w:tc>
          <w:tcPr>
            <w:tcW w:w="1134" w:type="dxa"/>
            <w:vAlign w:val="center"/>
          </w:tcPr>
          <w:p w14:paraId="2E49DCD0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8D9F2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02BE169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0B33B183" w14:textId="77777777" w:rsidTr="00FF4902">
        <w:tc>
          <w:tcPr>
            <w:tcW w:w="2251" w:type="dxa"/>
            <w:vAlign w:val="center"/>
          </w:tcPr>
          <w:p w14:paraId="1518ADA3" w14:textId="296B90ED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Overall fit</w:t>
            </w:r>
          </w:p>
        </w:tc>
        <w:tc>
          <w:tcPr>
            <w:tcW w:w="6258" w:type="dxa"/>
            <w:vAlign w:val="center"/>
          </w:tcPr>
          <w:p w14:paraId="6ECA017B" w14:textId="64DEA365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Does the provider balance technical fit, delivery confidence, quality, cost and working style?</w:t>
            </w:r>
          </w:p>
        </w:tc>
        <w:tc>
          <w:tcPr>
            <w:tcW w:w="1134" w:type="dxa"/>
            <w:vAlign w:val="center"/>
          </w:tcPr>
          <w:p w14:paraId="56A7BF86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6B4A9F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B1AB8E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45251F" w:rsidRPr="00DE3887" w14:paraId="1C0D4549" w14:textId="77777777" w:rsidTr="00FF4902">
        <w:tc>
          <w:tcPr>
            <w:tcW w:w="2251" w:type="dxa"/>
            <w:vAlign w:val="center"/>
          </w:tcPr>
          <w:p w14:paraId="5AA595F1" w14:textId="242218F9" w:rsidR="0045251F" w:rsidRPr="007F1A9F" w:rsidRDefault="0045251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Total Delivered Cost</w:t>
            </w:r>
          </w:p>
        </w:tc>
        <w:tc>
          <w:tcPr>
            <w:tcW w:w="6258" w:type="dxa"/>
            <w:vAlign w:val="center"/>
          </w:tcPr>
          <w:p w14:paraId="1D7637A3" w14:textId="1D926231" w:rsidR="0045251F" w:rsidRPr="007F1A9F" w:rsidRDefault="0045251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Factoring in all potential costs, not solely manufacturing</w:t>
            </w:r>
          </w:p>
        </w:tc>
        <w:tc>
          <w:tcPr>
            <w:tcW w:w="1134" w:type="dxa"/>
            <w:vAlign w:val="center"/>
          </w:tcPr>
          <w:p w14:paraId="5B413012" w14:textId="77777777" w:rsidR="0045251F" w:rsidRPr="00147D02" w:rsidRDefault="0045251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DE03CB" w14:textId="77777777" w:rsidR="0045251F" w:rsidRPr="00DE3887" w:rsidRDefault="0045251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56447A1B" w14:textId="77777777" w:rsidR="0045251F" w:rsidRPr="00DE3887" w:rsidRDefault="0045251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7EEC251" w14:textId="77777777" w:rsidTr="00FF4902">
        <w:tc>
          <w:tcPr>
            <w:tcW w:w="2251" w:type="dxa"/>
            <w:vAlign w:val="center"/>
          </w:tcPr>
          <w:p w14:paraId="61552BFA" w14:textId="5E6F9D19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Decision</w:t>
            </w:r>
          </w:p>
        </w:tc>
        <w:tc>
          <w:tcPr>
            <w:tcW w:w="6258" w:type="dxa"/>
            <w:vAlign w:val="center"/>
          </w:tcPr>
          <w:p w14:paraId="1B84F8BA" w14:textId="06E5B91F" w:rsidR="001C2E35" w:rsidRPr="001C2E35" w:rsidRDefault="00BC46D3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Preferred provider, reserve provider, further clarification </w:t>
            </w:r>
            <w:proofErr w:type="gramStart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>needed, or</w:t>
            </w:r>
            <w:proofErr w:type="gramEnd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remove from consideration.</w:t>
            </w:r>
          </w:p>
        </w:tc>
        <w:tc>
          <w:tcPr>
            <w:tcW w:w="1134" w:type="dxa"/>
            <w:vAlign w:val="center"/>
          </w:tcPr>
          <w:p w14:paraId="5746C86B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838A56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E5EDA70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7297F580" w14:textId="77777777" w:rsidR="00B66ECF" w:rsidRPr="00DE3887" w:rsidRDefault="00B66ECF">
      <w:pPr>
        <w:rPr>
          <w:rFonts w:ascii="Poppins" w:hAnsi="Poppins" w:cs="Poppins"/>
          <w:b/>
          <w:bCs/>
          <w:color w:val="044054"/>
        </w:rPr>
      </w:pPr>
    </w:p>
    <w:sectPr w:rsidR="00B66ECF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D5894B" w14:textId="77777777" w:rsidR="00FC3ACB" w:rsidRDefault="00FC3ACB" w:rsidP="0074510D">
      <w:pPr>
        <w:spacing w:after="0" w:line="240" w:lineRule="auto"/>
      </w:pPr>
      <w:r>
        <w:separator/>
      </w:r>
    </w:p>
  </w:endnote>
  <w:endnote w:type="continuationSeparator" w:id="0">
    <w:p w14:paraId="289D2BEC" w14:textId="77777777" w:rsidR="00FC3ACB" w:rsidRDefault="00FC3ACB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FCF1F1" w14:textId="77777777" w:rsidR="00FC3ACB" w:rsidRDefault="00FC3ACB" w:rsidP="0074510D">
      <w:pPr>
        <w:spacing w:after="0" w:line="240" w:lineRule="auto"/>
      </w:pPr>
      <w:r>
        <w:separator/>
      </w:r>
    </w:p>
  </w:footnote>
  <w:footnote w:type="continuationSeparator" w:id="0">
    <w:p w14:paraId="64BFB163" w14:textId="77777777" w:rsidR="00FC3ACB" w:rsidRDefault="00FC3ACB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1981C553" w:rsidR="0074510D" w:rsidRDefault="005E14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27BCA96" wp14:editId="18D7F4C9">
          <wp:simplePos x="0" y="0"/>
          <wp:positionH relativeFrom="margin">
            <wp:posOffset>-534154</wp:posOffset>
          </wp:positionH>
          <wp:positionV relativeFrom="margin">
            <wp:posOffset>-283185</wp:posOffset>
          </wp:positionV>
          <wp:extent cx="10067453" cy="6553835"/>
          <wp:effectExtent l="0" t="0" r="381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670" cy="658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0D3BFE"/>
    <w:rsid w:val="00147D02"/>
    <w:rsid w:val="001746A4"/>
    <w:rsid w:val="00197565"/>
    <w:rsid w:val="001C2E35"/>
    <w:rsid w:val="001D718F"/>
    <w:rsid w:val="001E2C1E"/>
    <w:rsid w:val="001F54A6"/>
    <w:rsid w:val="00234562"/>
    <w:rsid w:val="002413D3"/>
    <w:rsid w:val="00244436"/>
    <w:rsid w:val="002679B5"/>
    <w:rsid w:val="002807C7"/>
    <w:rsid w:val="00287E4A"/>
    <w:rsid w:val="002A6457"/>
    <w:rsid w:val="002B46B4"/>
    <w:rsid w:val="00355D66"/>
    <w:rsid w:val="00374394"/>
    <w:rsid w:val="00393A60"/>
    <w:rsid w:val="003B2834"/>
    <w:rsid w:val="003B2F55"/>
    <w:rsid w:val="003C614C"/>
    <w:rsid w:val="003F2419"/>
    <w:rsid w:val="00411998"/>
    <w:rsid w:val="0045251F"/>
    <w:rsid w:val="00476A56"/>
    <w:rsid w:val="00480A1C"/>
    <w:rsid w:val="00485DFE"/>
    <w:rsid w:val="00486ED0"/>
    <w:rsid w:val="00500A6F"/>
    <w:rsid w:val="00515180"/>
    <w:rsid w:val="00557CF6"/>
    <w:rsid w:val="00561AD2"/>
    <w:rsid w:val="00591EB4"/>
    <w:rsid w:val="005E149C"/>
    <w:rsid w:val="005F1873"/>
    <w:rsid w:val="005F4E15"/>
    <w:rsid w:val="006216D8"/>
    <w:rsid w:val="0062798B"/>
    <w:rsid w:val="0065741F"/>
    <w:rsid w:val="0069326C"/>
    <w:rsid w:val="006E4B74"/>
    <w:rsid w:val="0070168E"/>
    <w:rsid w:val="0074510D"/>
    <w:rsid w:val="0078774C"/>
    <w:rsid w:val="007D0700"/>
    <w:rsid w:val="007D5F1A"/>
    <w:rsid w:val="007F1A9F"/>
    <w:rsid w:val="00816937"/>
    <w:rsid w:val="00896B88"/>
    <w:rsid w:val="008D684B"/>
    <w:rsid w:val="008E1BD1"/>
    <w:rsid w:val="00935605"/>
    <w:rsid w:val="00935B71"/>
    <w:rsid w:val="00981F60"/>
    <w:rsid w:val="009B2E0F"/>
    <w:rsid w:val="009B6A4D"/>
    <w:rsid w:val="009C1895"/>
    <w:rsid w:val="00A04329"/>
    <w:rsid w:val="00A26125"/>
    <w:rsid w:val="00AC3C9B"/>
    <w:rsid w:val="00B26854"/>
    <w:rsid w:val="00B43338"/>
    <w:rsid w:val="00B564DA"/>
    <w:rsid w:val="00B66ECF"/>
    <w:rsid w:val="00B85CCE"/>
    <w:rsid w:val="00BA6619"/>
    <w:rsid w:val="00BC46D3"/>
    <w:rsid w:val="00BD164E"/>
    <w:rsid w:val="00C103DE"/>
    <w:rsid w:val="00C12D5C"/>
    <w:rsid w:val="00C80C5C"/>
    <w:rsid w:val="00D30AC2"/>
    <w:rsid w:val="00D32F91"/>
    <w:rsid w:val="00D41DFD"/>
    <w:rsid w:val="00D459DA"/>
    <w:rsid w:val="00D45CAD"/>
    <w:rsid w:val="00D6056C"/>
    <w:rsid w:val="00DE3887"/>
    <w:rsid w:val="00E01B0C"/>
    <w:rsid w:val="00E70D34"/>
    <w:rsid w:val="00E8411E"/>
    <w:rsid w:val="00E93DE0"/>
    <w:rsid w:val="00EC2624"/>
    <w:rsid w:val="00EE714A"/>
    <w:rsid w:val="00EF44EF"/>
    <w:rsid w:val="00F2194E"/>
    <w:rsid w:val="00F64C13"/>
    <w:rsid w:val="00FA68DB"/>
    <w:rsid w:val="00FB10E5"/>
    <w:rsid w:val="00FC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592</Words>
  <Characters>3620</Characters>
  <Application>Microsoft Office Word</Application>
  <DocSecurity>0</DocSecurity>
  <Lines>134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7</cp:revision>
  <dcterms:created xsi:type="dcterms:W3CDTF">2026-09-14T09:35:00Z</dcterms:created>
  <dcterms:modified xsi:type="dcterms:W3CDTF">2026-09-15T10:24:00Z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