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0FE9DD04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19D0A418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 xml:space="preserve">Selecting a </w:t>
      </w:r>
      <w:r w:rsidR="0010468A">
        <w:rPr>
          <w:rFonts w:ascii="Poppins" w:hAnsi="Poppins" w:cs="Poppins"/>
          <w:color w:val="044054"/>
        </w:rPr>
        <w:t>CMO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5294EE90" w:rsidR="0074510D" w:rsidRPr="00DE3887" w:rsidRDefault="0074510D" w:rsidP="00935B71">
      <w:pPr>
        <w:pStyle w:val="Heading1"/>
        <w:ind w:left="-850"/>
        <w:rPr>
          <w:color w:val="044054"/>
        </w:rPr>
      </w:pPr>
      <w:r w:rsidRPr="00DE3887">
        <w:rPr>
          <w:color w:val="044054"/>
        </w:rPr>
        <w:t>Preparation template</w:t>
      </w:r>
    </w:p>
    <w:p w14:paraId="614BD26A" w14:textId="79218E84" w:rsidR="00234562" w:rsidRPr="00DE3887" w:rsidRDefault="0074510D" w:rsidP="00935B71">
      <w:pPr>
        <w:ind w:left="-851"/>
        <w:rPr>
          <w:rFonts w:ascii="Poppins" w:hAnsi="Poppins" w:cs="Poppins"/>
          <w:color w:val="044054"/>
        </w:rPr>
      </w:pPr>
      <w:r w:rsidRPr="00DE3887">
        <w:rPr>
          <w:rFonts w:ascii="Poppins" w:hAnsi="Poppins" w:cs="Poppins"/>
          <w:color w:val="044054"/>
        </w:rPr>
        <w:t xml:space="preserve">Use this </w:t>
      </w:r>
      <w:r w:rsidR="0002527D">
        <w:rPr>
          <w:rFonts w:ascii="Poppins" w:hAnsi="Poppins" w:cs="Poppins"/>
          <w:color w:val="044054"/>
        </w:rPr>
        <w:t>template</w:t>
      </w:r>
      <w:r w:rsidRPr="00DE3887">
        <w:rPr>
          <w:rFonts w:ascii="Poppins" w:hAnsi="Poppins" w:cs="Poppins"/>
          <w:color w:val="044054"/>
        </w:rPr>
        <w:t xml:space="preserve"> before contacting service providers. The aim is to capture enough information to make the first conversation useful, without pretending every answer is already known.</w:t>
      </w:r>
      <w:r w:rsidR="0002527D">
        <w:rPr>
          <w:rFonts w:ascii="Poppins" w:hAnsi="Poppins" w:cs="Poppins"/>
          <w:color w:val="044054"/>
        </w:rPr>
        <w:t xml:space="preserve"> This will align stakeholders and define the outsourcing strategy.</w:t>
      </w:r>
    </w:p>
    <w:tbl>
      <w:tblPr>
        <w:tblStyle w:val="GridTable4-Accent1"/>
        <w:tblW w:w="15738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2"/>
        <w:gridCol w:w="2549"/>
        <w:gridCol w:w="6902"/>
        <w:gridCol w:w="2723"/>
        <w:gridCol w:w="86"/>
        <w:gridCol w:w="2716"/>
      </w:tblGrid>
      <w:tr w:rsidR="0074510D" w:rsidRPr="00DE3887" w14:paraId="7A4AA2D1" w14:textId="77777777" w:rsidTr="00935B71">
        <w:tc>
          <w:tcPr>
            <w:tcW w:w="0" w:type="auto"/>
            <w:vAlign w:val="center"/>
            <w:hideMark/>
          </w:tcPr>
          <w:p w14:paraId="0B0CCA37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Step</w:t>
            </w:r>
          </w:p>
        </w:tc>
        <w:tc>
          <w:tcPr>
            <w:tcW w:w="0" w:type="auto"/>
            <w:vAlign w:val="center"/>
            <w:hideMark/>
          </w:tcPr>
          <w:p w14:paraId="04B646DF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Preparation area</w:t>
            </w:r>
          </w:p>
        </w:tc>
        <w:tc>
          <w:tcPr>
            <w:tcW w:w="6902" w:type="dxa"/>
            <w:vAlign w:val="center"/>
            <w:hideMark/>
          </w:tcPr>
          <w:p w14:paraId="5FC996E7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Information to populate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53AEF71B" w14:textId="0E65D5E0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Owner / notes</w:t>
            </w:r>
          </w:p>
        </w:tc>
      </w:tr>
      <w:tr w:rsidR="0074510D" w:rsidRPr="00DE3887" w14:paraId="70227B2C" w14:textId="77777777" w:rsidTr="00935B71">
        <w:tc>
          <w:tcPr>
            <w:tcW w:w="0" w:type="auto"/>
            <w:vAlign w:val="center"/>
            <w:hideMark/>
          </w:tcPr>
          <w:p w14:paraId="1C552E3B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DB3C1E" w14:textId="3507A65B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Project </w:t>
            </w:r>
            <w:r w:rsidR="003B2857">
              <w:rPr>
                <w:rFonts w:ascii="Poppins" w:hAnsi="Poppins" w:cs="Poppins"/>
                <w:color w:val="044054"/>
                <w:sz w:val="20"/>
                <w:szCs w:val="20"/>
              </w:rPr>
              <w:t>objectives</w:t>
            </w:r>
          </w:p>
        </w:tc>
        <w:tc>
          <w:tcPr>
            <w:tcW w:w="6902" w:type="dxa"/>
            <w:vAlign w:val="center"/>
            <w:hideMark/>
          </w:tcPr>
          <w:p w14:paraId="179E0499" w14:textId="16149DE8" w:rsidR="0074510D" w:rsidRPr="00DE3887" w:rsidRDefault="00E219B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E219BF">
              <w:rPr>
                <w:rFonts w:ascii="Poppins" w:hAnsi="Poppins" w:cs="Poppins"/>
                <w:color w:val="044054"/>
                <w:sz w:val="20"/>
                <w:szCs w:val="20"/>
              </w:rPr>
              <w:t>Development stage, product lifecycle stage, key milestones, definition of success, critical timeline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24230FD1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F5396" w:rsidRPr="00DE3887" w14:paraId="630D75FD" w14:textId="1C7E38D8" w:rsidTr="00CF5396">
        <w:tc>
          <w:tcPr>
            <w:tcW w:w="0" w:type="auto"/>
            <w:vMerge w:val="restart"/>
            <w:vAlign w:val="center"/>
            <w:hideMark/>
          </w:tcPr>
          <w:p w14:paraId="75DC344D" w14:textId="77777777" w:rsidR="00CF5396" w:rsidRPr="00DE3887" w:rsidRDefault="00CF53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2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BCF6EC7" w14:textId="029EA6AA" w:rsidR="00CF5396" w:rsidRPr="00DE3887" w:rsidRDefault="00CF53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Manufacturing</w:t>
            </w: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 scope</w:t>
            </w:r>
          </w:p>
        </w:tc>
        <w:tc>
          <w:tcPr>
            <w:tcW w:w="6902" w:type="dxa"/>
            <w:vAlign w:val="center"/>
            <w:hideMark/>
          </w:tcPr>
          <w:p w14:paraId="7FD9850E" w14:textId="777978C1" w:rsidR="00CF5396" w:rsidRPr="00DE3887" w:rsidRDefault="00CF53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B2857">
              <w:rPr>
                <w:rFonts w:ascii="Poppins" w:hAnsi="Poppins" w:cs="Poppins"/>
                <w:color w:val="044054"/>
                <w:sz w:val="20"/>
                <w:szCs w:val="20"/>
              </w:rPr>
              <w:t>Activities to outsource and activities to keep internal or with other vendors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:</w:t>
            </w:r>
          </w:p>
        </w:tc>
        <w:tc>
          <w:tcPr>
            <w:tcW w:w="2723" w:type="dxa"/>
            <w:tcBorders>
              <w:right w:val="single" w:sz="4" w:space="0" w:color="D0CECE" w:themeColor="background2" w:themeShade="E6"/>
            </w:tcBorders>
            <w:vAlign w:val="center"/>
            <w:hideMark/>
          </w:tcPr>
          <w:p w14:paraId="56D27633" w14:textId="48B53A26" w:rsidR="00CF5396" w:rsidRPr="00DE3887" w:rsidRDefault="00CF5396" w:rsidP="00CF5396">
            <w:pPr>
              <w:jc w:val="center"/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Internal</w:t>
            </w:r>
          </w:p>
        </w:tc>
        <w:tc>
          <w:tcPr>
            <w:tcW w:w="2802" w:type="dxa"/>
            <w:gridSpan w:val="2"/>
            <w:tcBorders>
              <w:left w:val="single" w:sz="4" w:space="0" w:color="D0CECE" w:themeColor="background2" w:themeShade="E6"/>
            </w:tcBorders>
            <w:vAlign w:val="center"/>
          </w:tcPr>
          <w:p w14:paraId="31576F0A" w14:textId="0A710D2D" w:rsidR="00CF5396" w:rsidRPr="00DE3887" w:rsidRDefault="00CF5396" w:rsidP="00CF5396">
            <w:pPr>
              <w:jc w:val="center"/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CMO</w:t>
            </w:r>
          </w:p>
        </w:tc>
      </w:tr>
      <w:tr w:rsidR="00CF5396" w:rsidRPr="00DE3887" w14:paraId="101F84E2" w14:textId="13733C2D" w:rsidTr="00CF5396">
        <w:tc>
          <w:tcPr>
            <w:tcW w:w="0" w:type="auto"/>
            <w:vMerge/>
            <w:vAlign w:val="center"/>
          </w:tcPr>
          <w:p w14:paraId="6F3A1703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291D33E" w14:textId="77777777" w:rsidR="00CF5396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4F61B363" w14:textId="7745C1E8" w:rsidR="00CF5396" w:rsidRPr="003B285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Technology transfer</w:t>
            </w:r>
          </w:p>
        </w:tc>
        <w:tc>
          <w:tcPr>
            <w:tcW w:w="2723" w:type="dxa"/>
            <w:tcBorders>
              <w:right w:val="single" w:sz="4" w:space="0" w:color="D0CECE" w:themeColor="background2" w:themeShade="E6"/>
            </w:tcBorders>
            <w:vAlign w:val="center"/>
          </w:tcPr>
          <w:p w14:paraId="722BA9D7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left w:val="single" w:sz="4" w:space="0" w:color="D0CECE" w:themeColor="background2" w:themeShade="E6"/>
            </w:tcBorders>
            <w:vAlign w:val="center"/>
          </w:tcPr>
          <w:p w14:paraId="46D85460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F5396" w:rsidRPr="00DE3887" w14:paraId="16108F11" w14:textId="1EDDA1F0" w:rsidTr="00CF5396">
        <w:tc>
          <w:tcPr>
            <w:tcW w:w="0" w:type="auto"/>
            <w:vMerge/>
            <w:vAlign w:val="center"/>
          </w:tcPr>
          <w:p w14:paraId="51403F03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8BE2584" w14:textId="77777777" w:rsidR="00CF5396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21B2011C" w14:textId="68802308" w:rsidR="00CF5396" w:rsidRPr="003B285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Process validation</w:t>
            </w:r>
          </w:p>
        </w:tc>
        <w:tc>
          <w:tcPr>
            <w:tcW w:w="2723" w:type="dxa"/>
            <w:tcBorders>
              <w:right w:val="single" w:sz="4" w:space="0" w:color="D0CECE" w:themeColor="background2" w:themeShade="E6"/>
            </w:tcBorders>
            <w:vAlign w:val="center"/>
          </w:tcPr>
          <w:p w14:paraId="44E165F0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left w:val="single" w:sz="4" w:space="0" w:color="D0CECE" w:themeColor="background2" w:themeShade="E6"/>
            </w:tcBorders>
            <w:vAlign w:val="center"/>
          </w:tcPr>
          <w:p w14:paraId="379A2770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F5396" w:rsidRPr="00DE3887" w14:paraId="4B53F4D1" w14:textId="03F22527" w:rsidTr="00CF5396">
        <w:tc>
          <w:tcPr>
            <w:tcW w:w="0" w:type="auto"/>
            <w:vMerge/>
            <w:vAlign w:val="center"/>
          </w:tcPr>
          <w:p w14:paraId="4764F335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6D305CF" w14:textId="77777777" w:rsidR="00CF5396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68928999" w14:textId="0D3CAD75" w:rsidR="00CF5396" w:rsidRPr="003B285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Commercial manufacture</w:t>
            </w:r>
          </w:p>
        </w:tc>
        <w:tc>
          <w:tcPr>
            <w:tcW w:w="2723" w:type="dxa"/>
            <w:tcBorders>
              <w:right w:val="single" w:sz="4" w:space="0" w:color="D0CECE" w:themeColor="background2" w:themeShade="E6"/>
            </w:tcBorders>
            <w:vAlign w:val="center"/>
          </w:tcPr>
          <w:p w14:paraId="58B5A3A6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left w:val="single" w:sz="4" w:space="0" w:color="D0CECE" w:themeColor="background2" w:themeShade="E6"/>
            </w:tcBorders>
            <w:vAlign w:val="center"/>
          </w:tcPr>
          <w:p w14:paraId="7B88040F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F5396" w:rsidRPr="00DE3887" w14:paraId="14365D4A" w14:textId="649A2C49" w:rsidTr="00CF5396">
        <w:tc>
          <w:tcPr>
            <w:tcW w:w="0" w:type="auto"/>
            <w:vMerge/>
            <w:vAlign w:val="center"/>
          </w:tcPr>
          <w:p w14:paraId="66E22EAD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E25836F" w14:textId="77777777" w:rsidR="00CF5396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502FF1F8" w14:textId="64A55D04" w:rsidR="00CF5396" w:rsidRPr="003B285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Packaging</w:t>
            </w:r>
          </w:p>
        </w:tc>
        <w:tc>
          <w:tcPr>
            <w:tcW w:w="2723" w:type="dxa"/>
            <w:tcBorders>
              <w:right w:val="single" w:sz="4" w:space="0" w:color="D0CECE" w:themeColor="background2" w:themeShade="E6"/>
            </w:tcBorders>
            <w:vAlign w:val="center"/>
          </w:tcPr>
          <w:p w14:paraId="5A629D38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left w:val="single" w:sz="4" w:space="0" w:color="D0CECE" w:themeColor="background2" w:themeShade="E6"/>
            </w:tcBorders>
            <w:vAlign w:val="center"/>
          </w:tcPr>
          <w:p w14:paraId="09A1CE28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F5396" w:rsidRPr="00DE3887" w14:paraId="450CD1C2" w14:textId="4B1A102E" w:rsidTr="00CF5396">
        <w:tc>
          <w:tcPr>
            <w:tcW w:w="0" w:type="auto"/>
            <w:vMerge/>
            <w:vAlign w:val="center"/>
          </w:tcPr>
          <w:p w14:paraId="2EAB78EB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34A9968" w14:textId="77777777" w:rsidR="00CF5396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5FEBD75D" w14:textId="13822D57" w:rsidR="00CF5396" w:rsidRPr="003B285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Warehousing</w:t>
            </w:r>
          </w:p>
        </w:tc>
        <w:tc>
          <w:tcPr>
            <w:tcW w:w="2723" w:type="dxa"/>
            <w:tcBorders>
              <w:right w:val="single" w:sz="4" w:space="0" w:color="D0CECE" w:themeColor="background2" w:themeShade="E6"/>
            </w:tcBorders>
            <w:vAlign w:val="center"/>
          </w:tcPr>
          <w:p w14:paraId="75B1E78C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left w:val="single" w:sz="4" w:space="0" w:color="D0CECE" w:themeColor="background2" w:themeShade="E6"/>
            </w:tcBorders>
            <w:vAlign w:val="center"/>
          </w:tcPr>
          <w:p w14:paraId="41EB9166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F5396" w:rsidRPr="00DE3887" w14:paraId="1A5305DC" w14:textId="3AEB05AD" w:rsidTr="00CF5396">
        <w:tc>
          <w:tcPr>
            <w:tcW w:w="0" w:type="auto"/>
            <w:vMerge/>
            <w:vAlign w:val="center"/>
          </w:tcPr>
          <w:p w14:paraId="0DDFDE2D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05B1606" w14:textId="77777777" w:rsidR="00CF5396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2168CE6E" w14:textId="71D1F735" w:rsidR="00CF5396" w:rsidRPr="003B285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Distribution</w:t>
            </w:r>
          </w:p>
        </w:tc>
        <w:tc>
          <w:tcPr>
            <w:tcW w:w="2723" w:type="dxa"/>
            <w:tcBorders>
              <w:right w:val="single" w:sz="4" w:space="0" w:color="D0CECE" w:themeColor="background2" w:themeShade="E6"/>
            </w:tcBorders>
            <w:vAlign w:val="center"/>
          </w:tcPr>
          <w:p w14:paraId="4CC41B2A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left w:val="single" w:sz="4" w:space="0" w:color="D0CECE" w:themeColor="background2" w:themeShade="E6"/>
            </w:tcBorders>
            <w:vAlign w:val="center"/>
          </w:tcPr>
          <w:p w14:paraId="65459450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F5396" w:rsidRPr="00DE3887" w14:paraId="538A565A" w14:textId="40F8C3E4" w:rsidTr="00CF5396">
        <w:tc>
          <w:tcPr>
            <w:tcW w:w="0" w:type="auto"/>
            <w:vMerge/>
            <w:vAlign w:val="center"/>
          </w:tcPr>
          <w:p w14:paraId="70171CD8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1BA7D2F" w14:textId="77777777" w:rsidR="00CF5396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2A615183" w14:textId="46CF51C2" w:rsidR="00CF5396" w:rsidRPr="003B285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Stability</w:t>
            </w:r>
          </w:p>
        </w:tc>
        <w:tc>
          <w:tcPr>
            <w:tcW w:w="2723" w:type="dxa"/>
            <w:tcBorders>
              <w:right w:val="single" w:sz="4" w:space="0" w:color="D0CECE" w:themeColor="background2" w:themeShade="E6"/>
            </w:tcBorders>
            <w:vAlign w:val="center"/>
          </w:tcPr>
          <w:p w14:paraId="7280D578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left w:val="single" w:sz="4" w:space="0" w:color="D0CECE" w:themeColor="background2" w:themeShade="E6"/>
            </w:tcBorders>
            <w:vAlign w:val="center"/>
          </w:tcPr>
          <w:p w14:paraId="227FD201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F5396" w:rsidRPr="00DE3887" w14:paraId="2E13D912" w14:textId="47F726EB" w:rsidTr="00CF5396">
        <w:tc>
          <w:tcPr>
            <w:tcW w:w="0" w:type="auto"/>
            <w:vMerge/>
            <w:vAlign w:val="center"/>
          </w:tcPr>
          <w:p w14:paraId="63880B47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5258DCA" w14:textId="77777777" w:rsidR="00CF5396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3CBD66E9" w14:textId="3A9E6403" w:rsidR="00CF5396" w:rsidRPr="003B285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Release testing</w:t>
            </w:r>
          </w:p>
        </w:tc>
        <w:tc>
          <w:tcPr>
            <w:tcW w:w="2809" w:type="dxa"/>
            <w:gridSpan w:val="2"/>
            <w:tcBorders>
              <w:right w:val="single" w:sz="4" w:space="0" w:color="D0CECE" w:themeColor="background2" w:themeShade="E6"/>
            </w:tcBorders>
            <w:vAlign w:val="center"/>
          </w:tcPr>
          <w:p w14:paraId="4921BB1B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2716" w:type="dxa"/>
            <w:tcBorders>
              <w:left w:val="single" w:sz="4" w:space="0" w:color="D0CECE" w:themeColor="background2" w:themeShade="E6"/>
            </w:tcBorders>
            <w:vAlign w:val="center"/>
          </w:tcPr>
          <w:p w14:paraId="6F9CDA30" w14:textId="77777777" w:rsidR="00CF5396" w:rsidRPr="00DE3887" w:rsidRDefault="00CF53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3F10E208" w14:textId="77777777" w:rsidTr="00935B71">
        <w:tc>
          <w:tcPr>
            <w:tcW w:w="0" w:type="auto"/>
            <w:vAlign w:val="center"/>
            <w:hideMark/>
          </w:tcPr>
          <w:p w14:paraId="16746798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B6EF4A" w14:textId="7ECC8830" w:rsidR="0074510D" w:rsidRPr="00DE3887" w:rsidRDefault="00CF53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Manufacturing strategy</w:t>
            </w:r>
          </w:p>
        </w:tc>
        <w:tc>
          <w:tcPr>
            <w:tcW w:w="6902" w:type="dxa"/>
            <w:vAlign w:val="center"/>
            <w:hideMark/>
          </w:tcPr>
          <w:p w14:paraId="2E12BF26" w14:textId="77777777" w:rsidR="001D109A" w:rsidRDefault="001D109A" w:rsidP="001D109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D109A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Are we selecting for the next milestone or the entire product lifecycle? </w:t>
            </w:r>
          </w:p>
          <w:p w14:paraId="17587CCA" w14:textId="77777777" w:rsidR="001D109A" w:rsidRDefault="001D109A" w:rsidP="001D109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D109A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Do we require a clinical, commercial or hybrid partner? </w:t>
            </w:r>
          </w:p>
          <w:p w14:paraId="13450122" w14:textId="77777777" w:rsidR="001D109A" w:rsidRDefault="001D109A" w:rsidP="001D109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D109A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Single site or dual-source strategy? </w:t>
            </w:r>
          </w:p>
          <w:p w14:paraId="3CC6721B" w14:textId="77777777" w:rsidR="001D109A" w:rsidRDefault="001D109A" w:rsidP="001D109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D109A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Regional or global supply model? </w:t>
            </w:r>
          </w:p>
          <w:p w14:paraId="27069EC9" w14:textId="7683E3C8" w:rsidR="0074510D" w:rsidRPr="001D109A" w:rsidRDefault="001D109A" w:rsidP="001D109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D109A">
              <w:rPr>
                <w:rFonts w:ascii="Poppins" w:hAnsi="Poppins" w:cs="Poppins"/>
                <w:color w:val="044054"/>
                <w:sz w:val="20"/>
                <w:szCs w:val="20"/>
              </w:rPr>
              <w:t>Existing supply-chain constraints?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440641A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14344F7F" w14:textId="77777777" w:rsidTr="00935B71">
        <w:tc>
          <w:tcPr>
            <w:tcW w:w="0" w:type="auto"/>
            <w:vAlign w:val="center"/>
            <w:hideMark/>
          </w:tcPr>
          <w:p w14:paraId="05BC2241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D7AC6D2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Available information</w:t>
            </w:r>
          </w:p>
        </w:tc>
        <w:tc>
          <w:tcPr>
            <w:tcW w:w="6902" w:type="dxa"/>
            <w:vAlign w:val="center"/>
            <w:hideMark/>
          </w:tcPr>
          <w:p w14:paraId="0A2A2A67" w14:textId="1C86BE9D" w:rsidR="0074510D" w:rsidRPr="00DE3887" w:rsidRDefault="00CE306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E306F">
              <w:rPr>
                <w:rFonts w:ascii="Poppins" w:hAnsi="Poppins" w:cs="Poppins"/>
                <w:color w:val="044054"/>
                <w:sz w:val="20"/>
                <w:szCs w:val="20"/>
              </w:rPr>
              <w:t>Formulation history, analytical methods, stability data, manufacturing history, specifications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0EA9692B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0AEFBB6B" w14:textId="77777777" w:rsidTr="00935B71">
        <w:tc>
          <w:tcPr>
            <w:tcW w:w="0" w:type="auto"/>
            <w:vAlign w:val="center"/>
            <w:hideMark/>
          </w:tcPr>
          <w:p w14:paraId="35DA6971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70BF7A2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Known gaps</w:t>
            </w:r>
          </w:p>
        </w:tc>
        <w:tc>
          <w:tcPr>
            <w:tcW w:w="6902" w:type="dxa"/>
            <w:vAlign w:val="center"/>
            <w:hideMark/>
          </w:tcPr>
          <w:p w14:paraId="4127C4B0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Unknowns, uncertainties or areas still under development.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2DB16EAD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CB47289" w14:textId="77777777" w:rsidTr="00935B71">
        <w:tc>
          <w:tcPr>
            <w:tcW w:w="0" w:type="auto"/>
            <w:vAlign w:val="center"/>
            <w:hideMark/>
          </w:tcPr>
          <w:p w14:paraId="29F59FC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F009AEB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Decision drivers</w:t>
            </w:r>
          </w:p>
        </w:tc>
        <w:tc>
          <w:tcPr>
            <w:tcW w:w="6902" w:type="dxa"/>
            <w:vAlign w:val="center"/>
            <w:hideMark/>
          </w:tcPr>
          <w:p w14:paraId="65441797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Rank key drivers such as quality, technical fit, timing, cost, capacity, geography, communication and strategic fit.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0049DD1E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065FCDA" w14:textId="77777777" w:rsidTr="00935B71">
        <w:tc>
          <w:tcPr>
            <w:tcW w:w="0" w:type="auto"/>
            <w:vAlign w:val="center"/>
            <w:hideMark/>
          </w:tcPr>
          <w:p w14:paraId="219AB2D0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6CA8A89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Requirements</w:t>
            </w:r>
          </w:p>
        </w:tc>
        <w:tc>
          <w:tcPr>
            <w:tcW w:w="6902" w:type="dxa"/>
            <w:vAlign w:val="center"/>
            <w:hideMark/>
          </w:tcPr>
          <w:p w14:paraId="633193B7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Must-have requirements separated from preferences.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7FFCCD89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18CA379E" w14:textId="77777777" w:rsidTr="00935B71">
        <w:tc>
          <w:tcPr>
            <w:tcW w:w="0" w:type="auto"/>
            <w:vAlign w:val="center"/>
            <w:hideMark/>
          </w:tcPr>
          <w:p w14:paraId="03A2093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A496563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Compliance expectations</w:t>
            </w:r>
          </w:p>
        </w:tc>
        <w:tc>
          <w:tcPr>
            <w:tcW w:w="6902" w:type="dxa"/>
            <w:vAlign w:val="center"/>
            <w:hideMark/>
          </w:tcPr>
          <w:p w14:paraId="6CC38D4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Quality, GMP, regulatory, licence, health and safety, handling and containment expectations.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251103C4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99531A" w:rsidRPr="00DE3887" w14:paraId="58DE5FD2" w14:textId="77777777" w:rsidTr="00935B71">
        <w:tc>
          <w:tcPr>
            <w:tcW w:w="0" w:type="auto"/>
            <w:vMerge w:val="restart"/>
            <w:vAlign w:val="center"/>
          </w:tcPr>
          <w:p w14:paraId="612424C8" w14:textId="660EEAA1" w:rsidR="0099531A" w:rsidRPr="00DE3887" w:rsidRDefault="0099531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9</w:t>
            </w:r>
          </w:p>
        </w:tc>
        <w:tc>
          <w:tcPr>
            <w:tcW w:w="0" w:type="auto"/>
            <w:vMerge w:val="restart"/>
            <w:vAlign w:val="center"/>
          </w:tcPr>
          <w:p w14:paraId="42A3E4EC" w14:textId="45A8F73E" w:rsidR="0099531A" w:rsidRPr="00DE3887" w:rsidRDefault="0099531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Commercial expectations</w:t>
            </w:r>
          </w:p>
        </w:tc>
        <w:tc>
          <w:tcPr>
            <w:tcW w:w="6902" w:type="dxa"/>
            <w:vAlign w:val="center"/>
          </w:tcPr>
          <w:p w14:paraId="24920A87" w14:textId="33259ADF" w:rsidR="0099531A" w:rsidRPr="00DE3887" w:rsidRDefault="0099531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Target COGs</w:t>
            </w:r>
          </w:p>
        </w:tc>
        <w:tc>
          <w:tcPr>
            <w:tcW w:w="5525" w:type="dxa"/>
            <w:gridSpan w:val="3"/>
            <w:vAlign w:val="center"/>
          </w:tcPr>
          <w:p w14:paraId="11AA99E3" w14:textId="77777777" w:rsidR="0099531A" w:rsidRPr="00DE3887" w:rsidRDefault="0099531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99531A" w:rsidRPr="00DE3887" w14:paraId="53426246" w14:textId="77777777" w:rsidTr="00935B71">
        <w:tc>
          <w:tcPr>
            <w:tcW w:w="0" w:type="auto"/>
            <w:vMerge/>
            <w:vAlign w:val="center"/>
          </w:tcPr>
          <w:p w14:paraId="060F46BF" w14:textId="77777777" w:rsidR="0099531A" w:rsidRDefault="0099531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319CA9B" w14:textId="77777777" w:rsidR="0099531A" w:rsidRDefault="0099531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5F7E5F25" w14:textId="1054DCBC" w:rsidR="0099531A" w:rsidRPr="00DE3887" w:rsidRDefault="0099531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Target cost per saleable unit</w:t>
            </w:r>
          </w:p>
        </w:tc>
        <w:tc>
          <w:tcPr>
            <w:tcW w:w="5525" w:type="dxa"/>
            <w:gridSpan w:val="3"/>
            <w:vAlign w:val="center"/>
          </w:tcPr>
          <w:p w14:paraId="0E14E92F" w14:textId="77777777" w:rsidR="0099531A" w:rsidRPr="00DE3887" w:rsidRDefault="0099531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17F964D9" w14:textId="77777777" w:rsidTr="00935B71">
        <w:tc>
          <w:tcPr>
            <w:tcW w:w="0" w:type="auto"/>
            <w:vMerge/>
            <w:vAlign w:val="center"/>
          </w:tcPr>
          <w:p w14:paraId="6694DC26" w14:textId="77777777" w:rsidR="00D93226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7CE935D" w14:textId="77777777" w:rsidR="00D93226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4AF856C3" w14:textId="4B5A60FC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93226">
              <w:rPr>
                <w:rFonts w:ascii="Poppins" w:hAnsi="Poppins" w:cs="Poppins"/>
                <w:color w:val="044054"/>
                <w:sz w:val="20"/>
                <w:szCs w:val="20"/>
              </w:rPr>
              <w:t>Annual forecast volumes</w:t>
            </w:r>
          </w:p>
        </w:tc>
        <w:tc>
          <w:tcPr>
            <w:tcW w:w="5525" w:type="dxa"/>
            <w:gridSpan w:val="3"/>
            <w:vAlign w:val="center"/>
          </w:tcPr>
          <w:p w14:paraId="342559F9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71B5A8F6" w14:textId="77777777" w:rsidTr="00935B71">
        <w:tc>
          <w:tcPr>
            <w:tcW w:w="0" w:type="auto"/>
            <w:vMerge/>
            <w:vAlign w:val="center"/>
          </w:tcPr>
          <w:p w14:paraId="45785C64" w14:textId="77777777" w:rsidR="00D93226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57D4025" w14:textId="77777777" w:rsidR="00D93226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2112A0C9" w14:textId="65477CC9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93226">
              <w:rPr>
                <w:rFonts w:ascii="Poppins" w:hAnsi="Poppins" w:cs="Poppins"/>
                <w:color w:val="044054"/>
                <w:sz w:val="20"/>
                <w:szCs w:val="20"/>
              </w:rPr>
              <w:t>Launch markets</w:t>
            </w:r>
          </w:p>
        </w:tc>
        <w:tc>
          <w:tcPr>
            <w:tcW w:w="5525" w:type="dxa"/>
            <w:gridSpan w:val="3"/>
            <w:vAlign w:val="center"/>
          </w:tcPr>
          <w:p w14:paraId="62AF1496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573E7FB8" w14:textId="77777777" w:rsidTr="00935B71">
        <w:tc>
          <w:tcPr>
            <w:tcW w:w="0" w:type="auto"/>
            <w:vMerge/>
            <w:vAlign w:val="center"/>
          </w:tcPr>
          <w:p w14:paraId="65CC6CED" w14:textId="77777777" w:rsidR="00D93226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E7B9AD5" w14:textId="77777777" w:rsidR="00D93226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902" w:type="dxa"/>
            <w:vAlign w:val="center"/>
          </w:tcPr>
          <w:p w14:paraId="16EFDC4F" w14:textId="028B11AD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93226">
              <w:rPr>
                <w:rFonts w:ascii="Poppins" w:hAnsi="Poppins" w:cs="Poppins"/>
                <w:color w:val="044054"/>
                <w:sz w:val="20"/>
                <w:szCs w:val="20"/>
              </w:rPr>
              <w:t>Maximum acceptable cost-to-serve</w:t>
            </w:r>
          </w:p>
        </w:tc>
        <w:tc>
          <w:tcPr>
            <w:tcW w:w="5525" w:type="dxa"/>
            <w:gridSpan w:val="3"/>
            <w:vAlign w:val="center"/>
          </w:tcPr>
          <w:p w14:paraId="0AE39101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63B0EFB0" w14:textId="77777777" w:rsidTr="00935B71">
        <w:tc>
          <w:tcPr>
            <w:tcW w:w="0" w:type="auto"/>
            <w:vAlign w:val="center"/>
            <w:hideMark/>
          </w:tcPr>
          <w:p w14:paraId="20C471D5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14:paraId="2B4FAC28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Risk review</w:t>
            </w:r>
          </w:p>
        </w:tc>
        <w:tc>
          <w:tcPr>
            <w:tcW w:w="6902" w:type="dxa"/>
            <w:vAlign w:val="center"/>
            <w:hideMark/>
          </w:tcPr>
          <w:p w14:paraId="2A8C41B7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Likely technical, supply chain, timeline, regulatory, commercial and internal resource risks.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61C1D262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09BD385A" w14:textId="77777777" w:rsidTr="00935B71">
        <w:tc>
          <w:tcPr>
            <w:tcW w:w="0" w:type="auto"/>
            <w:vAlign w:val="center"/>
            <w:hideMark/>
          </w:tcPr>
          <w:p w14:paraId="15E816F8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3C5EE61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RFI or RFP decision</w:t>
            </w:r>
          </w:p>
        </w:tc>
        <w:tc>
          <w:tcPr>
            <w:tcW w:w="6902" w:type="dxa"/>
            <w:vAlign w:val="center"/>
            <w:hideMark/>
          </w:tcPr>
          <w:p w14:paraId="5B56C140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Confirm whether the next step is market screening or a detailed proposal request.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2A408F11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25945A80" w14:textId="77777777" w:rsidTr="00935B71">
        <w:tc>
          <w:tcPr>
            <w:tcW w:w="0" w:type="auto"/>
            <w:vAlign w:val="center"/>
            <w:hideMark/>
          </w:tcPr>
          <w:p w14:paraId="3B277883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4470CAF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Provider information pack</w:t>
            </w:r>
          </w:p>
        </w:tc>
        <w:tc>
          <w:tcPr>
            <w:tcW w:w="6902" w:type="dxa"/>
            <w:vAlign w:val="center"/>
            <w:hideMark/>
          </w:tcPr>
          <w:p w14:paraId="64BE8045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Consistent information pack and response format to send to providers.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7B4BCA14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09B802CE" w14:textId="77777777" w:rsidTr="00935B71">
        <w:tc>
          <w:tcPr>
            <w:tcW w:w="0" w:type="auto"/>
            <w:vAlign w:val="center"/>
            <w:hideMark/>
          </w:tcPr>
          <w:p w14:paraId="4760B64B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43E3442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Comparison approach</w:t>
            </w:r>
          </w:p>
        </w:tc>
        <w:tc>
          <w:tcPr>
            <w:tcW w:w="6902" w:type="dxa"/>
            <w:vAlign w:val="center"/>
            <w:hideMark/>
          </w:tcPr>
          <w:p w14:paraId="4167C016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How providers will be compared before responses are received.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4440EC5A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76E3415F" w14:textId="77777777" w:rsidTr="00935B71">
        <w:tc>
          <w:tcPr>
            <w:tcW w:w="0" w:type="auto"/>
            <w:vAlign w:val="center"/>
            <w:hideMark/>
          </w:tcPr>
          <w:p w14:paraId="73503E99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87E6266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Internal ownership</w:t>
            </w:r>
          </w:p>
        </w:tc>
        <w:tc>
          <w:tcPr>
            <w:tcW w:w="6902" w:type="dxa"/>
            <w:vAlign w:val="center"/>
            <w:hideMark/>
          </w:tcPr>
          <w:p w14:paraId="5391D5C5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Owners for technical review, quality review, commercial review and final decision-making.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1CC2C3EE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260399AA" w14:textId="77777777" w:rsidTr="00935B71">
        <w:tc>
          <w:tcPr>
            <w:tcW w:w="0" w:type="auto"/>
            <w:vAlign w:val="center"/>
            <w:hideMark/>
          </w:tcPr>
          <w:p w14:paraId="074FD765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D06F72A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Selection timeline</w:t>
            </w:r>
          </w:p>
        </w:tc>
        <w:tc>
          <w:tcPr>
            <w:tcW w:w="6902" w:type="dxa"/>
            <w:vAlign w:val="center"/>
            <w:hideMark/>
          </w:tcPr>
          <w:p w14:paraId="2F44C5F3" w14:textId="77777777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Timeline for outreach, clarification, proposal review, due diligence and selection.</w:t>
            </w:r>
          </w:p>
        </w:tc>
        <w:tc>
          <w:tcPr>
            <w:tcW w:w="5525" w:type="dxa"/>
            <w:gridSpan w:val="3"/>
            <w:vAlign w:val="center"/>
            <w:hideMark/>
          </w:tcPr>
          <w:p w14:paraId="7C6ABDE3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0A9C7EC" w14:textId="77777777" w:rsidR="00935B71" w:rsidRPr="00DE3887" w:rsidRDefault="00935B71" w:rsidP="0074510D">
      <w:pPr>
        <w:rPr>
          <w:rFonts w:ascii="Poppins" w:hAnsi="Poppins" w:cs="Poppins"/>
          <w:color w:val="044054"/>
        </w:rPr>
      </w:pPr>
    </w:p>
    <w:p w14:paraId="4C13B654" w14:textId="7A4192CD" w:rsidR="0074510D" w:rsidRPr="00DE3887" w:rsidRDefault="0074510D" w:rsidP="0074510D">
      <w:pPr>
        <w:rPr>
          <w:rFonts w:ascii="Poppins" w:hAnsi="Poppins" w:cs="Poppins"/>
          <w:color w:val="044054"/>
        </w:rPr>
      </w:pPr>
      <w:r w:rsidRPr="00DE3887">
        <w:rPr>
          <w:rFonts w:ascii="Poppins" w:hAnsi="Poppins" w:cs="Poppins"/>
          <w:color w:val="044054"/>
        </w:rPr>
        <w:t>A balanced preparation template should make the project easier to understand, not harder to start. If a section cannot be completed, say so clearly and ask the provider how they would approach the gap.</w:t>
      </w:r>
    </w:p>
    <w:p w14:paraId="485FDC84" w14:textId="77777777" w:rsidR="00A04329" w:rsidRPr="00DE3887" w:rsidRDefault="00A04329">
      <w:pPr>
        <w:rPr>
          <w:rFonts w:ascii="Poppins" w:hAnsi="Poppins" w:cs="Poppins"/>
          <w:b/>
          <w:bCs/>
          <w:color w:val="044054"/>
        </w:rPr>
      </w:pPr>
    </w:p>
    <w:sectPr w:rsidR="00A04329" w:rsidRPr="00DE3887" w:rsidSect="00935B71">
      <w:headerReference w:type="default" r:id="rId11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A412ED" w14:textId="77777777" w:rsidR="00584C1D" w:rsidRDefault="00584C1D" w:rsidP="0074510D">
      <w:pPr>
        <w:spacing w:after="0" w:line="240" w:lineRule="auto"/>
      </w:pPr>
      <w:r>
        <w:separator/>
      </w:r>
    </w:p>
  </w:endnote>
  <w:endnote w:type="continuationSeparator" w:id="0">
    <w:p w14:paraId="07A0866A" w14:textId="77777777" w:rsidR="00584C1D" w:rsidRDefault="00584C1D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98E3C2" w14:textId="77777777" w:rsidR="00584C1D" w:rsidRDefault="00584C1D" w:rsidP="0074510D">
      <w:pPr>
        <w:spacing w:after="0" w:line="240" w:lineRule="auto"/>
      </w:pPr>
      <w:r>
        <w:separator/>
      </w:r>
    </w:p>
  </w:footnote>
  <w:footnote w:type="continuationSeparator" w:id="0">
    <w:p w14:paraId="3B25814F" w14:textId="77777777" w:rsidR="00584C1D" w:rsidRDefault="00584C1D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BEB1EF" w14:textId="5C27D190" w:rsidR="006E1512" w:rsidRDefault="009372A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7714FB10" wp14:editId="04B35984">
          <wp:simplePos x="0" y="0"/>
          <wp:positionH relativeFrom="margin">
            <wp:posOffset>-525101</wp:posOffset>
          </wp:positionH>
          <wp:positionV relativeFrom="margin">
            <wp:posOffset>-478293</wp:posOffset>
          </wp:positionV>
          <wp:extent cx="9966960" cy="6544945"/>
          <wp:effectExtent l="0" t="0" r="2540" b="0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565" cy="65716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FAFA7E" w14:textId="4FE9FE59" w:rsidR="0074510D" w:rsidRDefault="007451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4C17CAD"/>
    <w:multiLevelType w:val="hybridMultilevel"/>
    <w:tmpl w:val="B1800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7976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2527D"/>
    <w:rsid w:val="00050111"/>
    <w:rsid w:val="0010468A"/>
    <w:rsid w:val="001B646A"/>
    <w:rsid w:val="001D109A"/>
    <w:rsid w:val="001D718F"/>
    <w:rsid w:val="00234562"/>
    <w:rsid w:val="002679B5"/>
    <w:rsid w:val="002A6457"/>
    <w:rsid w:val="003B2857"/>
    <w:rsid w:val="003F2419"/>
    <w:rsid w:val="00476A56"/>
    <w:rsid w:val="00490906"/>
    <w:rsid w:val="00557CF6"/>
    <w:rsid w:val="00584C1D"/>
    <w:rsid w:val="00663DED"/>
    <w:rsid w:val="006E1512"/>
    <w:rsid w:val="0074510D"/>
    <w:rsid w:val="00935B71"/>
    <w:rsid w:val="009372AF"/>
    <w:rsid w:val="0099531A"/>
    <w:rsid w:val="00A04329"/>
    <w:rsid w:val="00B50751"/>
    <w:rsid w:val="00B85CCE"/>
    <w:rsid w:val="00C12D5C"/>
    <w:rsid w:val="00CE306F"/>
    <w:rsid w:val="00CF5396"/>
    <w:rsid w:val="00D93226"/>
    <w:rsid w:val="00DE3887"/>
    <w:rsid w:val="00E219BF"/>
    <w:rsid w:val="00E70D34"/>
    <w:rsid w:val="00EC2624"/>
    <w:rsid w:val="00EC4C8C"/>
    <w:rsid w:val="00F4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customXml/itemProps3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360</Words>
  <Characters>2203</Characters>
  <Application>Microsoft Office Word</Application>
  <DocSecurity>0</DocSecurity>
  <Lines>81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12</cp:revision>
  <dcterms:created xsi:type="dcterms:W3CDTF">2026-09-14T09:06:00Z</dcterms:created>
  <dcterms:modified xsi:type="dcterms:W3CDTF">2026-09-15T09:33:00Z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