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F98E7E" w14:textId="13DD8A5B" w:rsidR="00234562" w:rsidRPr="001D718F" w:rsidRDefault="00935B71" w:rsidP="00234562">
      <w:pPr>
        <w:pBdr>
          <w:bottom w:val="single" w:sz="4" w:space="1" w:color="D0CECE" w:themeColor="background2" w:themeShade="E6"/>
        </w:pBdr>
        <w:ind w:left="-851"/>
        <w:rPr>
          <w:rFonts w:ascii="Poppins" w:hAnsi="Poppins" w:cs="Poppins"/>
          <w:color w:val="044054"/>
          <w:sz w:val="20"/>
          <w:szCs w:val="20"/>
        </w:rPr>
      </w:pPr>
      <w:r w:rsidRPr="00DE3887">
        <w:rPr>
          <w:rFonts w:ascii="Poppins" w:hAnsi="Poppins" w:cs="Poppins"/>
          <w:noProof/>
          <w:color w:val="044054"/>
        </w:rPr>
        <w:drawing>
          <wp:anchor distT="0" distB="0" distL="114300" distR="114300" simplePos="0" relativeHeight="251658240" behindDoc="0" locked="1" layoutInCell="1" allowOverlap="1" wp14:anchorId="06CB26F3" wp14:editId="3735D835">
            <wp:simplePos x="0" y="0"/>
            <wp:positionH relativeFrom="margin">
              <wp:posOffset>8046720</wp:posOffset>
            </wp:positionH>
            <wp:positionV relativeFrom="margin">
              <wp:posOffset>-3810</wp:posOffset>
            </wp:positionV>
            <wp:extent cx="1336040" cy="476250"/>
            <wp:effectExtent l="0" t="0" r="0" b="6350"/>
            <wp:wrapSquare wrapText="bothSides"/>
            <wp:docPr id="70864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6432" name="Picture 708643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604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4510D" w:rsidRPr="00DE3887">
        <w:rPr>
          <w:rFonts w:ascii="Poppins Medium" w:hAnsi="Poppins Medium" w:cs="Poppins Medium"/>
          <w:color w:val="044054"/>
        </w:rPr>
        <w:t>PSH: Guides</w:t>
      </w:r>
      <w:r w:rsidR="00234562" w:rsidRPr="00DE3887">
        <w:rPr>
          <w:rFonts w:ascii="Poppins Medium" w:hAnsi="Poppins Medium" w:cs="Poppins Medium"/>
          <w:color w:val="044054"/>
        </w:rPr>
        <w:t xml:space="preserve"> </w:t>
      </w:r>
      <w:r w:rsidR="0074510D" w:rsidRPr="00DE3887">
        <w:rPr>
          <w:rFonts w:ascii="Poppins" w:hAnsi="Poppins" w:cs="Poppins"/>
          <w:color w:val="044054"/>
        </w:rPr>
        <w:t>Selecting a Drug Product CDM</w:t>
      </w:r>
      <w:r w:rsidR="00234562" w:rsidRPr="00DE3887">
        <w:rPr>
          <w:rFonts w:ascii="Poppins" w:hAnsi="Poppins" w:cs="Poppins"/>
          <w:color w:val="044054"/>
        </w:rPr>
        <w:t>O</w:t>
      </w:r>
      <w:r w:rsidR="00234562" w:rsidRPr="00DE3887">
        <w:rPr>
          <w:rFonts w:ascii="Poppins" w:hAnsi="Poppins" w:cs="Poppins"/>
          <w:color w:val="044054"/>
        </w:rPr>
        <w:br/>
      </w:r>
      <w:r w:rsidR="00234562" w:rsidRPr="001D718F">
        <w:rPr>
          <w:rFonts w:ascii="Poppins" w:hAnsi="Poppins" w:cs="Poppins"/>
          <w:color w:val="044054"/>
          <w:sz w:val="20"/>
          <w:szCs w:val="20"/>
        </w:rPr>
        <w:t>V1.0 – SEPTEMBER 2026</w:t>
      </w:r>
    </w:p>
    <w:p w14:paraId="3F6A892F" w14:textId="5294EE90" w:rsidR="0074510D" w:rsidRPr="00DE3887" w:rsidRDefault="0074510D" w:rsidP="00935B71">
      <w:pPr>
        <w:pStyle w:val="Heading1"/>
        <w:ind w:left="-850"/>
        <w:rPr>
          <w:color w:val="044054"/>
        </w:rPr>
      </w:pPr>
      <w:r w:rsidRPr="00DE3887">
        <w:rPr>
          <w:color w:val="044054"/>
        </w:rPr>
        <w:t>Preparation template</w:t>
      </w:r>
    </w:p>
    <w:p w14:paraId="614BD26A" w14:textId="7EFD1462" w:rsidR="00234562" w:rsidRPr="00DE3887" w:rsidRDefault="0074510D" w:rsidP="00935B71">
      <w:pPr>
        <w:ind w:left="-851"/>
        <w:rPr>
          <w:rFonts w:ascii="Poppins" w:hAnsi="Poppins" w:cs="Poppins"/>
          <w:color w:val="044054"/>
        </w:rPr>
      </w:pPr>
      <w:r w:rsidRPr="00DE3887">
        <w:rPr>
          <w:rFonts w:ascii="Poppins" w:hAnsi="Poppins" w:cs="Poppins"/>
          <w:color w:val="044054"/>
        </w:rPr>
        <w:t>Use this outline before contacting service providers. The aim is to capture enough information to make the first conversation useful, without pretending every answer is already known.</w:t>
      </w:r>
      <w:r w:rsidR="00935B71" w:rsidRPr="00DE3887">
        <w:rPr>
          <w:rFonts w:ascii="Poppins" w:hAnsi="Poppins" w:cs="Poppins"/>
          <w:color w:val="044054"/>
        </w:rPr>
        <w:br/>
      </w:r>
    </w:p>
    <w:tbl>
      <w:tblPr>
        <w:tblStyle w:val="GridTable4-Accent1"/>
        <w:tblW w:w="15738" w:type="dxa"/>
        <w:tblInd w:w="-859" w:type="dxa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762"/>
        <w:gridCol w:w="2549"/>
        <w:gridCol w:w="6902"/>
        <w:gridCol w:w="5525"/>
      </w:tblGrid>
      <w:tr w:rsidR="0074510D" w:rsidRPr="00DE3887" w14:paraId="7A4AA2D1" w14:textId="77777777" w:rsidTr="00935B71">
        <w:tc>
          <w:tcPr>
            <w:tcW w:w="0" w:type="auto"/>
            <w:vAlign w:val="center"/>
            <w:hideMark/>
          </w:tcPr>
          <w:p w14:paraId="0B0CCA37" w14:textId="77777777" w:rsidR="0074510D" w:rsidRPr="00DE3887" w:rsidRDefault="0074510D">
            <w:pPr>
              <w:spacing w:after="160"/>
              <w:rPr>
                <w:rFonts w:ascii="Poppins Medium" w:hAnsi="Poppins Medium" w:cs="Poppins Medium"/>
                <w:color w:val="044054"/>
                <w:lang w:eastAsia="en-GB"/>
              </w:rPr>
            </w:pPr>
            <w:r w:rsidRPr="00DE3887">
              <w:rPr>
                <w:rFonts w:ascii="Poppins Medium" w:hAnsi="Poppins Medium" w:cs="Poppins Medium"/>
                <w:color w:val="044054"/>
              </w:rPr>
              <w:t>Step</w:t>
            </w:r>
          </w:p>
        </w:tc>
        <w:tc>
          <w:tcPr>
            <w:tcW w:w="0" w:type="auto"/>
            <w:vAlign w:val="center"/>
            <w:hideMark/>
          </w:tcPr>
          <w:p w14:paraId="04B646DF" w14:textId="77777777" w:rsidR="0074510D" w:rsidRPr="00DE3887" w:rsidRDefault="0074510D">
            <w:pPr>
              <w:spacing w:after="160"/>
              <w:rPr>
                <w:rFonts w:ascii="Poppins Medium" w:hAnsi="Poppins Medium" w:cs="Poppins Medium"/>
                <w:color w:val="044054"/>
              </w:rPr>
            </w:pPr>
            <w:r w:rsidRPr="00DE3887">
              <w:rPr>
                <w:rFonts w:ascii="Poppins Medium" w:hAnsi="Poppins Medium" w:cs="Poppins Medium"/>
                <w:color w:val="044054"/>
              </w:rPr>
              <w:t>Preparation area</w:t>
            </w:r>
          </w:p>
        </w:tc>
        <w:tc>
          <w:tcPr>
            <w:tcW w:w="6902" w:type="dxa"/>
            <w:vAlign w:val="center"/>
            <w:hideMark/>
          </w:tcPr>
          <w:p w14:paraId="5FC996E7" w14:textId="77777777" w:rsidR="0074510D" w:rsidRPr="00DE3887" w:rsidRDefault="0074510D">
            <w:pPr>
              <w:spacing w:after="160"/>
              <w:rPr>
                <w:rFonts w:ascii="Poppins Medium" w:hAnsi="Poppins Medium" w:cs="Poppins Medium"/>
                <w:color w:val="044054"/>
              </w:rPr>
            </w:pPr>
            <w:r w:rsidRPr="00DE3887">
              <w:rPr>
                <w:rFonts w:ascii="Poppins Medium" w:hAnsi="Poppins Medium" w:cs="Poppins Medium"/>
                <w:color w:val="044054"/>
              </w:rPr>
              <w:t>Information to populate</w:t>
            </w:r>
          </w:p>
        </w:tc>
        <w:tc>
          <w:tcPr>
            <w:tcW w:w="5525" w:type="dxa"/>
            <w:vAlign w:val="center"/>
            <w:hideMark/>
          </w:tcPr>
          <w:p w14:paraId="53AEF71B" w14:textId="0E65D5E0" w:rsidR="0074510D" w:rsidRPr="00DE3887" w:rsidRDefault="0074510D">
            <w:pPr>
              <w:spacing w:after="160"/>
              <w:rPr>
                <w:rFonts w:ascii="Poppins Medium" w:hAnsi="Poppins Medium" w:cs="Poppins Medium"/>
                <w:color w:val="044054"/>
              </w:rPr>
            </w:pPr>
            <w:r w:rsidRPr="00DE3887">
              <w:rPr>
                <w:rFonts w:ascii="Poppins Medium" w:hAnsi="Poppins Medium" w:cs="Poppins Medium"/>
                <w:color w:val="044054"/>
              </w:rPr>
              <w:t>Owner / notes</w:t>
            </w:r>
          </w:p>
        </w:tc>
      </w:tr>
      <w:tr w:rsidR="0074510D" w:rsidRPr="00DE3887" w14:paraId="70227B2C" w14:textId="77777777" w:rsidTr="00935B71">
        <w:tc>
          <w:tcPr>
            <w:tcW w:w="0" w:type="auto"/>
            <w:vAlign w:val="center"/>
            <w:hideMark/>
          </w:tcPr>
          <w:p w14:paraId="1C552E3B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ADB3C1E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Project milestone</w:t>
            </w:r>
          </w:p>
        </w:tc>
        <w:tc>
          <w:tcPr>
            <w:tcW w:w="6902" w:type="dxa"/>
            <w:vAlign w:val="center"/>
            <w:hideMark/>
          </w:tcPr>
          <w:p w14:paraId="179E0499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 xml:space="preserve">Key milestones and what success </w:t>
            </w:r>
            <w:proofErr w:type="gramStart"/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looks</w:t>
            </w:r>
            <w:proofErr w:type="gramEnd"/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 xml:space="preserve"> like.</w:t>
            </w:r>
          </w:p>
        </w:tc>
        <w:tc>
          <w:tcPr>
            <w:tcW w:w="5525" w:type="dxa"/>
            <w:vAlign w:val="center"/>
            <w:hideMark/>
          </w:tcPr>
          <w:p w14:paraId="24230FD1" w14:textId="77777777" w:rsidR="0074510D" w:rsidRPr="00DE3887" w:rsidRDefault="0074510D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74510D" w:rsidRPr="00DE3887" w14:paraId="630D75FD" w14:textId="77777777" w:rsidTr="00935B71">
        <w:tc>
          <w:tcPr>
            <w:tcW w:w="0" w:type="auto"/>
            <w:vAlign w:val="center"/>
            <w:hideMark/>
          </w:tcPr>
          <w:p w14:paraId="75DC344D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BCF6EC7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Outsourcing scope</w:t>
            </w:r>
          </w:p>
        </w:tc>
        <w:tc>
          <w:tcPr>
            <w:tcW w:w="6902" w:type="dxa"/>
            <w:vAlign w:val="center"/>
            <w:hideMark/>
          </w:tcPr>
          <w:p w14:paraId="7FD9850E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Activities to outsource and activities to keep internal or with other vendors.</w:t>
            </w:r>
          </w:p>
        </w:tc>
        <w:tc>
          <w:tcPr>
            <w:tcW w:w="5525" w:type="dxa"/>
            <w:vAlign w:val="center"/>
            <w:hideMark/>
          </w:tcPr>
          <w:p w14:paraId="56D27633" w14:textId="77777777" w:rsidR="0074510D" w:rsidRPr="00DE3887" w:rsidRDefault="0074510D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74510D" w:rsidRPr="00DE3887" w14:paraId="3F10E208" w14:textId="77777777" w:rsidTr="00935B71">
        <w:tc>
          <w:tcPr>
            <w:tcW w:w="0" w:type="auto"/>
            <w:vAlign w:val="center"/>
            <w:hideMark/>
          </w:tcPr>
          <w:p w14:paraId="16746798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AB6EF4A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TPP details</w:t>
            </w:r>
          </w:p>
        </w:tc>
        <w:tc>
          <w:tcPr>
            <w:tcW w:w="6902" w:type="dxa"/>
            <w:vAlign w:val="center"/>
            <w:hideMark/>
          </w:tcPr>
          <w:p w14:paraId="27069EC9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Product type, development stage, dosage form, route of administration and known technical constraints.</w:t>
            </w:r>
          </w:p>
        </w:tc>
        <w:tc>
          <w:tcPr>
            <w:tcW w:w="5525" w:type="dxa"/>
            <w:vAlign w:val="center"/>
            <w:hideMark/>
          </w:tcPr>
          <w:p w14:paraId="440641A3" w14:textId="77777777" w:rsidR="0074510D" w:rsidRPr="00DE3887" w:rsidRDefault="0074510D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74510D" w:rsidRPr="00DE3887" w14:paraId="14344F7F" w14:textId="77777777" w:rsidTr="00935B71">
        <w:tc>
          <w:tcPr>
            <w:tcW w:w="0" w:type="auto"/>
            <w:vAlign w:val="center"/>
            <w:hideMark/>
          </w:tcPr>
          <w:p w14:paraId="05BC2241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D7AC6D2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Available information</w:t>
            </w:r>
          </w:p>
        </w:tc>
        <w:tc>
          <w:tcPr>
            <w:tcW w:w="6902" w:type="dxa"/>
            <w:vAlign w:val="center"/>
            <w:hideMark/>
          </w:tcPr>
          <w:p w14:paraId="0A2A2A67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Formulation history, analytical methods, stability data, manufacturing history, specifications and target product profile.</w:t>
            </w:r>
          </w:p>
        </w:tc>
        <w:tc>
          <w:tcPr>
            <w:tcW w:w="5525" w:type="dxa"/>
            <w:vAlign w:val="center"/>
            <w:hideMark/>
          </w:tcPr>
          <w:p w14:paraId="0EA9692B" w14:textId="77777777" w:rsidR="0074510D" w:rsidRPr="00DE3887" w:rsidRDefault="0074510D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74510D" w:rsidRPr="00DE3887" w14:paraId="0AEFBB6B" w14:textId="77777777" w:rsidTr="00935B71">
        <w:tc>
          <w:tcPr>
            <w:tcW w:w="0" w:type="auto"/>
            <w:vAlign w:val="center"/>
            <w:hideMark/>
          </w:tcPr>
          <w:p w14:paraId="35DA6971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170BF7A2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Known gaps</w:t>
            </w:r>
          </w:p>
        </w:tc>
        <w:tc>
          <w:tcPr>
            <w:tcW w:w="6902" w:type="dxa"/>
            <w:vAlign w:val="center"/>
            <w:hideMark/>
          </w:tcPr>
          <w:p w14:paraId="4127C4B0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Unknowns, uncertainties or areas still under development.</w:t>
            </w:r>
          </w:p>
        </w:tc>
        <w:tc>
          <w:tcPr>
            <w:tcW w:w="5525" w:type="dxa"/>
            <w:vAlign w:val="center"/>
            <w:hideMark/>
          </w:tcPr>
          <w:p w14:paraId="2DB16EAD" w14:textId="77777777" w:rsidR="0074510D" w:rsidRPr="00DE3887" w:rsidRDefault="0074510D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74510D" w:rsidRPr="00DE3887" w14:paraId="2CB47289" w14:textId="77777777" w:rsidTr="00935B71">
        <w:tc>
          <w:tcPr>
            <w:tcW w:w="0" w:type="auto"/>
            <w:vAlign w:val="center"/>
            <w:hideMark/>
          </w:tcPr>
          <w:p w14:paraId="29F59FCF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4F009AEB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Decision drivers</w:t>
            </w:r>
          </w:p>
        </w:tc>
        <w:tc>
          <w:tcPr>
            <w:tcW w:w="6902" w:type="dxa"/>
            <w:vAlign w:val="center"/>
            <w:hideMark/>
          </w:tcPr>
          <w:p w14:paraId="65441797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Rank key drivers such as quality, technical fit, timing, cost, capacity, geography, communication and strategic fit.</w:t>
            </w:r>
          </w:p>
        </w:tc>
        <w:tc>
          <w:tcPr>
            <w:tcW w:w="5525" w:type="dxa"/>
            <w:vAlign w:val="center"/>
            <w:hideMark/>
          </w:tcPr>
          <w:p w14:paraId="0049DD1E" w14:textId="77777777" w:rsidR="0074510D" w:rsidRPr="00DE3887" w:rsidRDefault="0074510D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74510D" w:rsidRPr="00DE3887" w14:paraId="2065FCDA" w14:textId="77777777" w:rsidTr="00935B71">
        <w:tc>
          <w:tcPr>
            <w:tcW w:w="0" w:type="auto"/>
            <w:vAlign w:val="center"/>
            <w:hideMark/>
          </w:tcPr>
          <w:p w14:paraId="219AB2D0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lastRenderedPageBreak/>
              <w:t>7</w:t>
            </w:r>
          </w:p>
        </w:tc>
        <w:tc>
          <w:tcPr>
            <w:tcW w:w="0" w:type="auto"/>
            <w:vAlign w:val="center"/>
            <w:hideMark/>
          </w:tcPr>
          <w:p w14:paraId="46CA8A89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Requirements</w:t>
            </w:r>
          </w:p>
        </w:tc>
        <w:tc>
          <w:tcPr>
            <w:tcW w:w="6902" w:type="dxa"/>
            <w:vAlign w:val="center"/>
            <w:hideMark/>
          </w:tcPr>
          <w:p w14:paraId="633193B7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Must-have requirements separated from preferences.</w:t>
            </w:r>
          </w:p>
        </w:tc>
        <w:tc>
          <w:tcPr>
            <w:tcW w:w="5525" w:type="dxa"/>
            <w:vAlign w:val="center"/>
            <w:hideMark/>
          </w:tcPr>
          <w:p w14:paraId="7FFCCD89" w14:textId="77777777" w:rsidR="0074510D" w:rsidRPr="00DE3887" w:rsidRDefault="0074510D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74510D" w:rsidRPr="00DE3887" w14:paraId="18CA379E" w14:textId="77777777" w:rsidTr="00935B71">
        <w:tc>
          <w:tcPr>
            <w:tcW w:w="0" w:type="auto"/>
            <w:vAlign w:val="center"/>
            <w:hideMark/>
          </w:tcPr>
          <w:p w14:paraId="03A2093F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7A496563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Compliance expectations</w:t>
            </w:r>
          </w:p>
        </w:tc>
        <w:tc>
          <w:tcPr>
            <w:tcW w:w="6902" w:type="dxa"/>
            <w:vAlign w:val="center"/>
            <w:hideMark/>
          </w:tcPr>
          <w:p w14:paraId="6CC38D4F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Quality, GMP, regulatory, licence, health and safety, handling and containment expectations.</w:t>
            </w:r>
          </w:p>
        </w:tc>
        <w:tc>
          <w:tcPr>
            <w:tcW w:w="5525" w:type="dxa"/>
            <w:vAlign w:val="center"/>
            <w:hideMark/>
          </w:tcPr>
          <w:p w14:paraId="251103C4" w14:textId="77777777" w:rsidR="0074510D" w:rsidRPr="00DE3887" w:rsidRDefault="0074510D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74510D" w:rsidRPr="00DE3887" w14:paraId="63B0EFB0" w14:textId="77777777" w:rsidTr="00935B71">
        <w:tc>
          <w:tcPr>
            <w:tcW w:w="0" w:type="auto"/>
            <w:vAlign w:val="center"/>
            <w:hideMark/>
          </w:tcPr>
          <w:p w14:paraId="20C471D5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2B4FAC28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Risk review</w:t>
            </w:r>
          </w:p>
        </w:tc>
        <w:tc>
          <w:tcPr>
            <w:tcW w:w="6902" w:type="dxa"/>
            <w:vAlign w:val="center"/>
            <w:hideMark/>
          </w:tcPr>
          <w:p w14:paraId="2A8C41B7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Likely technical, supply chain, timeline, regulatory, commercial and internal resource risks.</w:t>
            </w:r>
          </w:p>
        </w:tc>
        <w:tc>
          <w:tcPr>
            <w:tcW w:w="5525" w:type="dxa"/>
            <w:vAlign w:val="center"/>
            <w:hideMark/>
          </w:tcPr>
          <w:p w14:paraId="61C1D262" w14:textId="77777777" w:rsidR="0074510D" w:rsidRPr="00DE3887" w:rsidRDefault="0074510D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74510D" w:rsidRPr="00DE3887" w14:paraId="09BD385A" w14:textId="77777777" w:rsidTr="00935B71">
        <w:tc>
          <w:tcPr>
            <w:tcW w:w="0" w:type="auto"/>
            <w:vAlign w:val="center"/>
            <w:hideMark/>
          </w:tcPr>
          <w:p w14:paraId="15E816F8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03C5EE61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RFI or RFP decision</w:t>
            </w:r>
          </w:p>
        </w:tc>
        <w:tc>
          <w:tcPr>
            <w:tcW w:w="6902" w:type="dxa"/>
            <w:vAlign w:val="center"/>
            <w:hideMark/>
          </w:tcPr>
          <w:p w14:paraId="5B56C140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Confirm whether the next step is market screening or a detailed proposal request.</w:t>
            </w:r>
          </w:p>
        </w:tc>
        <w:tc>
          <w:tcPr>
            <w:tcW w:w="5525" w:type="dxa"/>
            <w:vAlign w:val="center"/>
            <w:hideMark/>
          </w:tcPr>
          <w:p w14:paraId="2A408F11" w14:textId="77777777" w:rsidR="0074510D" w:rsidRPr="00DE3887" w:rsidRDefault="0074510D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74510D" w:rsidRPr="00DE3887" w14:paraId="25945A80" w14:textId="77777777" w:rsidTr="00935B71">
        <w:tc>
          <w:tcPr>
            <w:tcW w:w="0" w:type="auto"/>
            <w:vAlign w:val="center"/>
            <w:hideMark/>
          </w:tcPr>
          <w:p w14:paraId="3B277883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74470CAF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Provider information pack</w:t>
            </w:r>
          </w:p>
        </w:tc>
        <w:tc>
          <w:tcPr>
            <w:tcW w:w="6902" w:type="dxa"/>
            <w:vAlign w:val="center"/>
            <w:hideMark/>
          </w:tcPr>
          <w:p w14:paraId="64BE8045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Consistent information pack and response format to send to providers.</w:t>
            </w:r>
          </w:p>
        </w:tc>
        <w:tc>
          <w:tcPr>
            <w:tcW w:w="5525" w:type="dxa"/>
            <w:vAlign w:val="center"/>
            <w:hideMark/>
          </w:tcPr>
          <w:p w14:paraId="7B4BCA14" w14:textId="77777777" w:rsidR="0074510D" w:rsidRPr="00DE3887" w:rsidRDefault="0074510D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74510D" w:rsidRPr="00DE3887" w14:paraId="09B802CE" w14:textId="77777777" w:rsidTr="00935B71">
        <w:tc>
          <w:tcPr>
            <w:tcW w:w="0" w:type="auto"/>
            <w:vAlign w:val="center"/>
            <w:hideMark/>
          </w:tcPr>
          <w:p w14:paraId="4760B64B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643E3442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Comparison approach</w:t>
            </w:r>
          </w:p>
        </w:tc>
        <w:tc>
          <w:tcPr>
            <w:tcW w:w="6902" w:type="dxa"/>
            <w:vAlign w:val="center"/>
            <w:hideMark/>
          </w:tcPr>
          <w:p w14:paraId="4167C016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How providers will be compared before responses are received.</w:t>
            </w:r>
          </w:p>
        </w:tc>
        <w:tc>
          <w:tcPr>
            <w:tcW w:w="5525" w:type="dxa"/>
            <w:vAlign w:val="center"/>
            <w:hideMark/>
          </w:tcPr>
          <w:p w14:paraId="4440EC5A" w14:textId="77777777" w:rsidR="0074510D" w:rsidRPr="00DE3887" w:rsidRDefault="0074510D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74510D" w:rsidRPr="00DE3887" w14:paraId="76E3415F" w14:textId="77777777" w:rsidTr="00935B71">
        <w:tc>
          <w:tcPr>
            <w:tcW w:w="0" w:type="auto"/>
            <w:vAlign w:val="center"/>
            <w:hideMark/>
          </w:tcPr>
          <w:p w14:paraId="73503E99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687E6266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Internal ownership</w:t>
            </w:r>
          </w:p>
        </w:tc>
        <w:tc>
          <w:tcPr>
            <w:tcW w:w="6902" w:type="dxa"/>
            <w:vAlign w:val="center"/>
            <w:hideMark/>
          </w:tcPr>
          <w:p w14:paraId="5391D5C5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Owners for technical review, quality review, commercial review and final decision-making.</w:t>
            </w:r>
          </w:p>
        </w:tc>
        <w:tc>
          <w:tcPr>
            <w:tcW w:w="5525" w:type="dxa"/>
            <w:vAlign w:val="center"/>
            <w:hideMark/>
          </w:tcPr>
          <w:p w14:paraId="1CC2C3EE" w14:textId="77777777" w:rsidR="0074510D" w:rsidRPr="00DE3887" w:rsidRDefault="0074510D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74510D" w:rsidRPr="00DE3887" w14:paraId="260399AA" w14:textId="77777777" w:rsidTr="00935B71">
        <w:tc>
          <w:tcPr>
            <w:tcW w:w="0" w:type="auto"/>
            <w:vAlign w:val="center"/>
            <w:hideMark/>
          </w:tcPr>
          <w:p w14:paraId="074FD765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1D06F72A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Selection timeline</w:t>
            </w:r>
          </w:p>
        </w:tc>
        <w:tc>
          <w:tcPr>
            <w:tcW w:w="6902" w:type="dxa"/>
            <w:vAlign w:val="center"/>
            <w:hideMark/>
          </w:tcPr>
          <w:p w14:paraId="2F44C5F3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Timeline for outreach, clarification, proposal review, due diligence and selection.</w:t>
            </w:r>
          </w:p>
        </w:tc>
        <w:tc>
          <w:tcPr>
            <w:tcW w:w="5525" w:type="dxa"/>
            <w:vAlign w:val="center"/>
            <w:hideMark/>
          </w:tcPr>
          <w:p w14:paraId="7C6ABDE3" w14:textId="77777777" w:rsidR="0074510D" w:rsidRPr="00DE3887" w:rsidRDefault="0074510D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</w:tbl>
    <w:p w14:paraId="40A9C7EC" w14:textId="77777777" w:rsidR="00935B71" w:rsidRPr="00DE3887" w:rsidRDefault="00935B71" w:rsidP="0074510D">
      <w:pPr>
        <w:rPr>
          <w:rFonts w:ascii="Poppins" w:hAnsi="Poppins" w:cs="Poppins"/>
          <w:color w:val="044054"/>
        </w:rPr>
      </w:pPr>
    </w:p>
    <w:p w14:paraId="4C13B654" w14:textId="7A4192CD" w:rsidR="0074510D" w:rsidRPr="00DE3887" w:rsidRDefault="0074510D" w:rsidP="0074510D">
      <w:pPr>
        <w:rPr>
          <w:rFonts w:ascii="Poppins" w:hAnsi="Poppins" w:cs="Poppins"/>
          <w:color w:val="044054"/>
        </w:rPr>
      </w:pPr>
      <w:r w:rsidRPr="00DE3887">
        <w:rPr>
          <w:rFonts w:ascii="Poppins" w:hAnsi="Poppins" w:cs="Poppins"/>
          <w:color w:val="044054"/>
        </w:rPr>
        <w:t>A balanced preparation template should make the project easier to understand, not harder to start. If a section cannot be completed, say so clearly and ask the provider how they would approach the gap.</w:t>
      </w:r>
    </w:p>
    <w:p w14:paraId="485FDC84" w14:textId="77777777" w:rsidR="00A04329" w:rsidRPr="00DE3887" w:rsidRDefault="00A04329">
      <w:pPr>
        <w:rPr>
          <w:rFonts w:ascii="Poppins" w:hAnsi="Poppins" w:cs="Poppins"/>
          <w:b/>
          <w:bCs/>
          <w:color w:val="044054"/>
        </w:rPr>
      </w:pPr>
    </w:p>
    <w:sectPr w:rsidR="00A04329" w:rsidRPr="00DE3887" w:rsidSect="00935B71">
      <w:headerReference w:type="default" r:id="rId11"/>
      <w:pgSz w:w="16838" w:h="11906" w:orient="landscape"/>
      <w:pgMar w:top="567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E02A32A" w14:textId="77777777" w:rsidR="00EC4C8C" w:rsidRDefault="00EC4C8C" w:rsidP="0074510D">
      <w:pPr>
        <w:spacing w:after="0" w:line="240" w:lineRule="auto"/>
      </w:pPr>
      <w:r>
        <w:separator/>
      </w:r>
    </w:p>
  </w:endnote>
  <w:endnote w:type="continuationSeparator" w:id="0">
    <w:p w14:paraId="16CF698F" w14:textId="77777777" w:rsidR="00EC4C8C" w:rsidRDefault="00EC4C8C" w:rsidP="007451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ppins">
    <w:panose1 w:val="00000500000000000000"/>
    <w:charset w:val="4D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oppins Medium">
    <w:panose1 w:val="00000600000000000000"/>
    <w:charset w:val="4D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EA8606A" w14:textId="77777777" w:rsidR="00EC4C8C" w:rsidRDefault="00EC4C8C" w:rsidP="0074510D">
      <w:pPr>
        <w:spacing w:after="0" w:line="240" w:lineRule="auto"/>
      </w:pPr>
      <w:r>
        <w:separator/>
      </w:r>
    </w:p>
  </w:footnote>
  <w:footnote w:type="continuationSeparator" w:id="0">
    <w:p w14:paraId="699FB2D6" w14:textId="77777777" w:rsidR="00EC4C8C" w:rsidRDefault="00EC4C8C" w:rsidP="007451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BEB1EF" w14:textId="5C27D190" w:rsidR="006E1512" w:rsidRDefault="009372AF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0" allowOverlap="1" wp14:anchorId="7714FB10" wp14:editId="04B35984">
          <wp:simplePos x="0" y="0"/>
          <wp:positionH relativeFrom="margin">
            <wp:posOffset>-525101</wp:posOffset>
          </wp:positionH>
          <wp:positionV relativeFrom="margin">
            <wp:posOffset>-478293</wp:posOffset>
          </wp:positionV>
          <wp:extent cx="9966960" cy="6544945"/>
          <wp:effectExtent l="0" t="0" r="2540" b="0"/>
          <wp:wrapNone/>
          <wp:docPr id="2" name="WordPictureWatermark116666878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1166668788"/>
                  <pic:cNvPicPr>
                    <a:picLocks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7565" cy="657160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8FAFA7E" w14:textId="4FE9FE59" w:rsidR="0074510D" w:rsidRDefault="0074510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/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10D"/>
    <w:rsid w:val="00050111"/>
    <w:rsid w:val="001B646A"/>
    <w:rsid w:val="001D718F"/>
    <w:rsid w:val="00234562"/>
    <w:rsid w:val="002679B5"/>
    <w:rsid w:val="002A6457"/>
    <w:rsid w:val="003F2419"/>
    <w:rsid w:val="00476A56"/>
    <w:rsid w:val="00490906"/>
    <w:rsid w:val="00557CF6"/>
    <w:rsid w:val="00663DED"/>
    <w:rsid w:val="006E1512"/>
    <w:rsid w:val="0074510D"/>
    <w:rsid w:val="00935B71"/>
    <w:rsid w:val="009372AF"/>
    <w:rsid w:val="00A04329"/>
    <w:rsid w:val="00B85CCE"/>
    <w:rsid w:val="00C12D5C"/>
    <w:rsid w:val="00DE3887"/>
    <w:rsid w:val="00E70D34"/>
    <w:rsid w:val="00EC2624"/>
    <w:rsid w:val="00EC4C8C"/>
    <w:rsid w:val="00F44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5676FA"/>
  <w15:chartTrackingRefBased/>
  <w15:docId w15:val="{4AD9DF93-A987-D045-84A3-2DB0FB091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510D"/>
  </w:style>
  <w:style w:type="paragraph" w:styleId="Heading1">
    <w:name w:val="heading 1"/>
    <w:basedOn w:val="Normal"/>
    <w:next w:val="Normal"/>
    <w:link w:val="Heading1Char"/>
    <w:uiPriority w:val="9"/>
    <w:qFormat/>
    <w:rsid w:val="00234562"/>
    <w:pPr>
      <w:ind w:left="-851"/>
      <w:outlineLvl w:val="0"/>
    </w:pPr>
    <w:rPr>
      <w:rFonts w:ascii="Poppins" w:hAnsi="Poppins" w:cs="Poppins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451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51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51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51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51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51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51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51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4562"/>
    <w:rPr>
      <w:rFonts w:ascii="Poppins" w:hAnsi="Poppins" w:cs="Poppins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7451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51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510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510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51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51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51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51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51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51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51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51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51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51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51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510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51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510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510D"/>
    <w:rPr>
      <w:b/>
      <w:bCs/>
      <w:smallCaps/>
      <w:color w:val="2F5496" w:themeColor="accent1" w:themeShade="BF"/>
      <w:spacing w:val="5"/>
    </w:rPr>
  </w:style>
  <w:style w:type="table" w:styleId="GridTable4-Accent1">
    <w:name w:val="Grid Table 4 Accent 1"/>
    <w:basedOn w:val="TableNormal"/>
    <w:uiPriority w:val="49"/>
    <w:rsid w:val="0074510D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</w:style>
  <w:style w:type="paragraph" w:styleId="Header">
    <w:name w:val="header"/>
    <w:basedOn w:val="Normal"/>
    <w:link w:val="HeaderChar"/>
    <w:uiPriority w:val="99"/>
    <w:unhideWhenUsed/>
    <w:rsid w:val="007451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510D"/>
  </w:style>
  <w:style w:type="paragraph" w:styleId="Footer">
    <w:name w:val="footer"/>
    <w:basedOn w:val="Normal"/>
    <w:link w:val="FooterChar"/>
    <w:uiPriority w:val="99"/>
    <w:unhideWhenUsed/>
    <w:rsid w:val="007451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51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f9a5122-bb44-443e-a8dd-0c4745789b23" xsi:nil="true"/>
    <lcf76f155ced4ddcb4097134ff3c332f xmlns="2417d121-eb52-4a1b-aac4-f9042990a8c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C6501E2F03A84F98E16DB98B72114A" ma:contentTypeVersion="11" ma:contentTypeDescription="Create a new document." ma:contentTypeScope="" ma:versionID="d2112832677acf01d94e8d91d1059788">
  <xsd:schema xmlns:xsd="http://www.w3.org/2001/XMLSchema" xmlns:xs="http://www.w3.org/2001/XMLSchema" xmlns:p="http://schemas.microsoft.com/office/2006/metadata/properties" xmlns:ns2="2417d121-eb52-4a1b-aac4-f9042990a8cc" xmlns:ns3="6f9a5122-bb44-443e-a8dd-0c4745789b23" targetNamespace="http://schemas.microsoft.com/office/2006/metadata/properties" ma:root="true" ma:fieldsID="c0a5aa99ab712a7f83b55328f230ea49" ns2:_="" ns3:_="">
    <xsd:import namespace="2417d121-eb52-4a1b-aac4-f9042990a8cc"/>
    <xsd:import namespace="6f9a5122-bb44-443e-a8dd-0c4745789b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17d121-eb52-4a1b-aac4-f9042990a8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073b51b-b3c0-4285-a284-10998cc19b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9a5122-bb44-443e-a8dd-0c4745789b2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5f8ea6b-ca76-4789-962b-e5eca908eb9c}" ma:internalName="TaxCatchAll" ma:showField="CatchAllData" ma:web="6f9a5122-bb44-443e-a8dd-0c4745789b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E39D69E-2C00-48C6-8C47-3B15EA1F7038}">
  <ds:schemaRefs>
    <ds:schemaRef ds:uri="http://schemas.microsoft.com/office/2006/metadata/properties"/>
    <ds:schemaRef ds:uri="http://schemas.microsoft.com/office/infopath/2007/PartnerControls"/>
    <ds:schemaRef ds:uri="6f9a5122-bb44-443e-a8dd-0c4745789b23"/>
    <ds:schemaRef ds:uri="2417d121-eb52-4a1b-aac4-f9042990a8cc"/>
  </ds:schemaRefs>
</ds:datastoreItem>
</file>

<file path=customXml/itemProps2.xml><?xml version="1.0" encoding="utf-8"?>
<ds:datastoreItem xmlns:ds="http://schemas.openxmlformats.org/officeDocument/2006/customXml" ds:itemID="{4D4FB190-2A63-48D3-A2CE-4CF4C94B3F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17d121-eb52-4a1b-aac4-f9042990a8cc"/>
    <ds:schemaRef ds:uri="6f9a5122-bb44-443e-a8dd-0c4745789b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E75BC18-5C89-4B13-B99D-87D4A8005A9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278</Words>
  <Characters>1720</Characters>
  <Application>Microsoft Office Word</Application>
  <DocSecurity>0</DocSecurity>
  <Lines>86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Jake Geen</dc:creator>
  <cp:keywords/>
  <dc:description/>
  <cp:lastModifiedBy>Sunil Singh</cp:lastModifiedBy>
  <cp:revision>2</cp:revision>
  <dcterms:created xsi:type="dcterms:W3CDTF">2026-09-14T09:06:00Z</dcterms:created>
  <dcterms:modified xsi:type="dcterms:W3CDTF">2026-09-14T09:06:00Z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0x010100BCC6501E2F03A84F98E16DB98B72114A</vt:lpwstr>
  </property>
  <property fmtid="{D5CDD505-2E9C-101B-9397-08002B2CF9AE}" pid="3" name="MediaServiceImageTags">
    <vt:lpwstr/>
  </property>
</Properties>
</file>