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98E7E" w14:textId="13DD8A5B" w:rsidR="00234562" w:rsidRPr="001D718F" w:rsidRDefault="00935B71" w:rsidP="00234562">
      <w:pPr>
        <w:pBdr>
          <w:bottom w:val="single" w:sz="4" w:space="1" w:color="D0CECE" w:themeColor="background2" w:themeShade="E6"/>
        </w:pBdr>
        <w:ind w:left="-851"/>
        <w:rPr>
          <w:rFonts w:ascii="Poppins" w:hAnsi="Poppins" w:cs="Poppins"/>
          <w:color w:val="044054"/>
          <w:sz w:val="20"/>
          <w:szCs w:val="20"/>
        </w:rPr>
      </w:pPr>
      <w:r w:rsidRPr="00DE3887">
        <w:rPr>
          <w:rFonts w:ascii="Poppins" w:hAnsi="Poppins" w:cs="Poppins"/>
          <w:noProof/>
          <w:color w:val="044054"/>
        </w:rPr>
        <w:drawing>
          <wp:anchor distT="0" distB="0" distL="114300" distR="114300" simplePos="0" relativeHeight="251658240" behindDoc="0" locked="1" layoutInCell="1" allowOverlap="1" wp14:anchorId="06CB26F3" wp14:editId="6B8694A2">
            <wp:simplePos x="0" y="0"/>
            <wp:positionH relativeFrom="margin">
              <wp:posOffset>8046720</wp:posOffset>
            </wp:positionH>
            <wp:positionV relativeFrom="margin">
              <wp:posOffset>-3810</wp:posOffset>
            </wp:positionV>
            <wp:extent cx="1336040" cy="476250"/>
            <wp:effectExtent l="0" t="0" r="0" b="6350"/>
            <wp:wrapSquare wrapText="bothSides"/>
            <wp:docPr id="7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32" name="Picture 70864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36040" cy="476250"/>
                    </a:xfrm>
                    <a:prstGeom prst="rect">
                      <a:avLst/>
                    </a:prstGeom>
                  </pic:spPr>
                </pic:pic>
              </a:graphicData>
            </a:graphic>
            <wp14:sizeRelH relativeFrom="margin">
              <wp14:pctWidth>0</wp14:pctWidth>
            </wp14:sizeRelH>
            <wp14:sizeRelV relativeFrom="margin">
              <wp14:pctHeight>0</wp14:pctHeight>
            </wp14:sizeRelV>
          </wp:anchor>
        </w:drawing>
      </w:r>
      <w:r w:rsidR="0074510D" w:rsidRPr="00DE3887">
        <w:rPr>
          <w:rFonts w:ascii="Poppins Medium" w:hAnsi="Poppins Medium" w:cs="Poppins Medium"/>
          <w:color w:val="044054"/>
        </w:rPr>
        <w:t>PSH: Guides</w:t>
      </w:r>
      <w:r w:rsidR="00234562" w:rsidRPr="00DE3887">
        <w:rPr>
          <w:rFonts w:ascii="Poppins Medium" w:hAnsi="Poppins Medium" w:cs="Poppins Medium"/>
          <w:color w:val="044054"/>
        </w:rPr>
        <w:t xml:space="preserve"> </w:t>
      </w:r>
      <w:r w:rsidR="0074510D" w:rsidRPr="00DE3887">
        <w:rPr>
          <w:rFonts w:ascii="Poppins" w:hAnsi="Poppins" w:cs="Poppins"/>
          <w:color w:val="044054"/>
        </w:rPr>
        <w:t>Selecting a Drug Product CDM</w:t>
      </w:r>
      <w:r w:rsidR="00234562" w:rsidRPr="00DE3887">
        <w:rPr>
          <w:rFonts w:ascii="Poppins" w:hAnsi="Poppins" w:cs="Poppins"/>
          <w:color w:val="044054"/>
        </w:rPr>
        <w:t>O</w:t>
      </w:r>
      <w:r w:rsidR="00234562" w:rsidRPr="00DE3887">
        <w:rPr>
          <w:rFonts w:ascii="Poppins" w:hAnsi="Poppins" w:cs="Poppins"/>
          <w:color w:val="044054"/>
        </w:rPr>
        <w:br/>
      </w:r>
      <w:r w:rsidR="00234562" w:rsidRPr="001D718F">
        <w:rPr>
          <w:rFonts w:ascii="Poppins" w:hAnsi="Poppins" w:cs="Poppins"/>
          <w:color w:val="044054"/>
          <w:sz w:val="20"/>
          <w:szCs w:val="20"/>
        </w:rPr>
        <w:t>V1.0 – SEPTEMBER 2026</w:t>
      </w:r>
    </w:p>
    <w:p w14:paraId="3F6A892F" w14:textId="79D8DD7A" w:rsidR="0074510D" w:rsidRPr="00DE3887" w:rsidRDefault="00D459DA" w:rsidP="00935B71">
      <w:pPr>
        <w:pStyle w:val="Heading1"/>
        <w:ind w:left="-850"/>
        <w:rPr>
          <w:color w:val="044054"/>
        </w:rPr>
      </w:pPr>
      <w:r w:rsidRPr="00D459DA">
        <w:rPr>
          <w:color w:val="044054"/>
        </w:rPr>
        <w:t xml:space="preserve">Service Provider </w:t>
      </w:r>
      <w:r w:rsidR="007460B1">
        <w:rPr>
          <w:color w:val="044054"/>
        </w:rPr>
        <w:t xml:space="preserve">Due Diligence </w:t>
      </w:r>
      <w:r w:rsidR="00816937">
        <w:rPr>
          <w:color w:val="044054"/>
        </w:rPr>
        <w:t>Checklist</w:t>
      </w:r>
    </w:p>
    <w:p w14:paraId="79C909EB" w14:textId="09552CF7" w:rsidR="007D5F1A" w:rsidRPr="00DE3887" w:rsidRDefault="00AF67FA" w:rsidP="00AF67FA">
      <w:pPr>
        <w:ind w:left="-851"/>
        <w:rPr>
          <w:rFonts w:ascii="Poppins" w:hAnsi="Poppins" w:cs="Poppins"/>
          <w:color w:val="044054"/>
        </w:rPr>
      </w:pPr>
      <w:r w:rsidRPr="00AF67FA">
        <w:rPr>
          <w:rFonts w:ascii="Poppins" w:hAnsi="Poppins" w:cs="Poppins"/>
          <w:color w:val="044054"/>
        </w:rPr>
        <w:t>Use this checklist once you are down to your favoured providers. The aim is to test whether the proposal can realistically be delivered, and to identify technical, quality, capacity, commercial and working-style risks before committing.</w:t>
      </w:r>
    </w:p>
    <w:tbl>
      <w:tblPr>
        <w:tblStyle w:val="GridTable4-Accent1"/>
        <w:tblW w:w="15902" w:type="dxa"/>
        <w:tblInd w:w="-85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108" w:type="dxa"/>
          <w:bottom w:w="108" w:type="dxa"/>
        </w:tblCellMar>
        <w:tblLook w:val="04A0" w:firstRow="1" w:lastRow="0" w:firstColumn="1" w:lastColumn="0" w:noHBand="0" w:noVBand="1"/>
      </w:tblPr>
      <w:tblGrid>
        <w:gridCol w:w="2251"/>
        <w:gridCol w:w="6258"/>
        <w:gridCol w:w="1134"/>
        <w:gridCol w:w="1134"/>
        <w:gridCol w:w="5125"/>
      </w:tblGrid>
      <w:tr w:rsidR="00B43338" w:rsidRPr="00DE3887" w14:paraId="7A4AA2D1" w14:textId="77777777" w:rsidTr="00374394">
        <w:tc>
          <w:tcPr>
            <w:tcW w:w="2251" w:type="dxa"/>
            <w:vAlign w:val="center"/>
            <w:hideMark/>
          </w:tcPr>
          <w:p w14:paraId="0B0CCA37" w14:textId="038C9206" w:rsidR="00B43338" w:rsidRPr="00DE3887" w:rsidRDefault="00C15D66">
            <w:pPr>
              <w:spacing w:after="160"/>
              <w:rPr>
                <w:rFonts w:ascii="Poppins Medium" w:hAnsi="Poppins Medium" w:cs="Poppins Medium"/>
                <w:color w:val="044054"/>
                <w:lang w:eastAsia="en-GB"/>
              </w:rPr>
            </w:pPr>
            <w:r>
              <w:rPr>
                <w:rFonts w:ascii="Poppins Medium" w:hAnsi="Poppins Medium" w:cs="Poppins Medium"/>
                <w:color w:val="044054"/>
              </w:rPr>
              <w:t>Scope</w:t>
            </w:r>
          </w:p>
        </w:tc>
        <w:tc>
          <w:tcPr>
            <w:tcW w:w="6258" w:type="dxa"/>
            <w:vAlign w:val="center"/>
            <w:hideMark/>
          </w:tcPr>
          <w:p w14:paraId="04B646DF" w14:textId="122CB8B8" w:rsidR="00B43338" w:rsidRPr="00DE3887" w:rsidRDefault="00B43338">
            <w:pPr>
              <w:spacing w:after="160"/>
              <w:rPr>
                <w:rFonts w:ascii="Poppins Medium" w:hAnsi="Poppins Medium" w:cs="Poppins Medium"/>
                <w:color w:val="044054"/>
              </w:rPr>
            </w:pPr>
            <w:r>
              <w:rPr>
                <w:rFonts w:ascii="Poppins Medium" w:hAnsi="Poppins Medium" w:cs="Poppins Medium"/>
                <w:color w:val="044054"/>
              </w:rPr>
              <w:t>What to c</w:t>
            </w:r>
            <w:r w:rsidR="00C15D66">
              <w:rPr>
                <w:rFonts w:ascii="Poppins Medium" w:hAnsi="Poppins Medium" w:cs="Poppins Medium"/>
                <w:color w:val="044054"/>
              </w:rPr>
              <w:t>heck</w:t>
            </w:r>
          </w:p>
        </w:tc>
        <w:tc>
          <w:tcPr>
            <w:tcW w:w="1134" w:type="dxa"/>
            <w:vAlign w:val="center"/>
            <w:hideMark/>
          </w:tcPr>
          <w:p w14:paraId="5FC996E7" w14:textId="5644CCFB" w:rsidR="00B43338" w:rsidRPr="00DE3887" w:rsidRDefault="00B43338">
            <w:pPr>
              <w:spacing w:after="160"/>
              <w:rPr>
                <w:rFonts w:ascii="Poppins Medium" w:hAnsi="Poppins Medium" w:cs="Poppins Medium"/>
                <w:color w:val="044054"/>
              </w:rPr>
            </w:pPr>
            <w:r>
              <w:rPr>
                <w:rFonts w:ascii="Poppins Medium" w:hAnsi="Poppins Medium" w:cs="Poppins Medium"/>
                <w:color w:val="044054"/>
              </w:rPr>
              <w:t>Weight</w:t>
            </w:r>
          </w:p>
        </w:tc>
        <w:tc>
          <w:tcPr>
            <w:tcW w:w="1134" w:type="dxa"/>
          </w:tcPr>
          <w:p w14:paraId="3F658570" w14:textId="09845BEF" w:rsidR="00B43338" w:rsidRDefault="00B43338">
            <w:pPr>
              <w:rPr>
                <w:rFonts w:ascii="Poppins Medium" w:hAnsi="Poppins Medium" w:cs="Poppins Medium"/>
                <w:color w:val="044054"/>
              </w:rPr>
            </w:pPr>
            <w:r>
              <w:rPr>
                <w:rFonts w:ascii="Poppins Medium" w:hAnsi="Poppins Medium" w:cs="Poppins Medium"/>
                <w:color w:val="044054"/>
              </w:rPr>
              <w:t>Score</w:t>
            </w:r>
          </w:p>
        </w:tc>
        <w:tc>
          <w:tcPr>
            <w:tcW w:w="5125" w:type="dxa"/>
            <w:vAlign w:val="center"/>
            <w:hideMark/>
          </w:tcPr>
          <w:p w14:paraId="53AEF71B" w14:textId="56368B45" w:rsidR="00B43338" w:rsidRPr="00DE3887" w:rsidRDefault="0073535B">
            <w:pPr>
              <w:spacing w:after="160"/>
              <w:rPr>
                <w:rFonts w:ascii="Poppins Medium" w:hAnsi="Poppins Medium" w:cs="Poppins Medium"/>
                <w:color w:val="044054"/>
              </w:rPr>
            </w:pPr>
            <w:r>
              <w:rPr>
                <w:rFonts w:ascii="Poppins Medium" w:hAnsi="Poppins Medium" w:cs="Poppins Medium"/>
                <w:color w:val="044054"/>
              </w:rPr>
              <w:t>Status</w:t>
            </w:r>
          </w:p>
        </w:tc>
      </w:tr>
      <w:tr w:rsidR="00B43338" w:rsidRPr="00DE3887" w14:paraId="70227B2C" w14:textId="77777777" w:rsidTr="00374394">
        <w:tc>
          <w:tcPr>
            <w:tcW w:w="2251" w:type="dxa"/>
            <w:vAlign w:val="center"/>
          </w:tcPr>
          <w:p w14:paraId="1C552E3B" w14:textId="1E72A0DA" w:rsidR="00B43338" w:rsidRPr="00DE3887" w:rsidRDefault="008C7BC2">
            <w:pPr>
              <w:spacing w:after="160"/>
              <w:rPr>
                <w:rFonts w:ascii="Poppins" w:hAnsi="Poppins" w:cs="Poppins"/>
                <w:color w:val="044054"/>
                <w:sz w:val="20"/>
                <w:szCs w:val="20"/>
              </w:rPr>
            </w:pPr>
            <w:r w:rsidRPr="008C7BC2">
              <w:rPr>
                <w:rFonts w:ascii="Poppins" w:hAnsi="Poppins" w:cs="Poppins"/>
                <w:color w:val="044054"/>
                <w:sz w:val="20"/>
                <w:szCs w:val="20"/>
              </w:rPr>
              <w:t>Relevant experience</w:t>
            </w:r>
          </w:p>
        </w:tc>
        <w:tc>
          <w:tcPr>
            <w:tcW w:w="6258" w:type="dxa"/>
            <w:vAlign w:val="center"/>
          </w:tcPr>
          <w:p w14:paraId="0ADB3C1E" w14:textId="687A5AA2" w:rsidR="00B43338" w:rsidRPr="00DE3887" w:rsidRDefault="005B0A48">
            <w:pPr>
              <w:spacing w:after="160"/>
              <w:rPr>
                <w:rFonts w:ascii="Poppins" w:hAnsi="Poppins" w:cs="Poppins"/>
                <w:color w:val="044054"/>
                <w:sz w:val="20"/>
                <w:szCs w:val="20"/>
              </w:rPr>
            </w:pPr>
            <w:r w:rsidRPr="005B0A48">
              <w:rPr>
                <w:rFonts w:ascii="Poppins" w:hAnsi="Poppins" w:cs="Poppins"/>
                <w:color w:val="044054"/>
                <w:sz w:val="20"/>
                <w:szCs w:val="20"/>
              </w:rPr>
              <w:t>Confirm recent experience with similar products, dosage forms, technologies, development stages, scales and technical challenges.</w:t>
            </w:r>
          </w:p>
        </w:tc>
        <w:tc>
          <w:tcPr>
            <w:tcW w:w="1134" w:type="dxa"/>
            <w:vAlign w:val="center"/>
          </w:tcPr>
          <w:p w14:paraId="179E0499" w14:textId="7BB8F41D" w:rsidR="00B43338" w:rsidRPr="00DE3887" w:rsidRDefault="00B43338">
            <w:pPr>
              <w:spacing w:after="160"/>
              <w:rPr>
                <w:rFonts w:ascii="Poppins" w:hAnsi="Poppins" w:cs="Poppins"/>
                <w:color w:val="044054"/>
                <w:sz w:val="20"/>
                <w:szCs w:val="20"/>
              </w:rPr>
            </w:pPr>
          </w:p>
        </w:tc>
        <w:tc>
          <w:tcPr>
            <w:tcW w:w="1134" w:type="dxa"/>
          </w:tcPr>
          <w:p w14:paraId="28BF5F5C" w14:textId="77777777" w:rsidR="00B43338" w:rsidRPr="00DE3887" w:rsidRDefault="00B43338">
            <w:pPr>
              <w:rPr>
                <w:rFonts w:ascii="Poppins" w:hAnsi="Poppins" w:cs="Poppins"/>
                <w:color w:val="044054"/>
                <w:sz w:val="20"/>
                <w:szCs w:val="20"/>
              </w:rPr>
            </w:pPr>
          </w:p>
        </w:tc>
        <w:tc>
          <w:tcPr>
            <w:tcW w:w="5125" w:type="dxa"/>
            <w:vAlign w:val="center"/>
            <w:hideMark/>
          </w:tcPr>
          <w:p w14:paraId="24230FD1" w14:textId="14B96E0B" w:rsidR="00B43338" w:rsidRPr="00DE3887" w:rsidRDefault="00B43338">
            <w:pPr>
              <w:rPr>
                <w:rFonts w:ascii="Poppins" w:hAnsi="Poppins" w:cs="Poppins"/>
                <w:color w:val="044054"/>
                <w:sz w:val="20"/>
                <w:szCs w:val="20"/>
              </w:rPr>
            </w:pPr>
          </w:p>
        </w:tc>
      </w:tr>
      <w:tr w:rsidR="00B43338" w:rsidRPr="00DE3887" w14:paraId="630D75FD" w14:textId="77777777" w:rsidTr="00374394">
        <w:tc>
          <w:tcPr>
            <w:tcW w:w="2251" w:type="dxa"/>
            <w:vAlign w:val="center"/>
          </w:tcPr>
          <w:p w14:paraId="75DC344D" w14:textId="71FF7455" w:rsidR="00B43338" w:rsidRPr="00DE3887" w:rsidRDefault="002370FB">
            <w:pPr>
              <w:spacing w:after="160"/>
              <w:rPr>
                <w:rFonts w:ascii="Poppins" w:hAnsi="Poppins" w:cs="Poppins"/>
                <w:color w:val="044054"/>
                <w:sz w:val="20"/>
                <w:szCs w:val="20"/>
              </w:rPr>
            </w:pPr>
            <w:r w:rsidRPr="002370FB">
              <w:rPr>
                <w:rFonts w:ascii="Poppins" w:hAnsi="Poppins" w:cs="Poppins"/>
                <w:color w:val="044054"/>
                <w:sz w:val="20"/>
                <w:szCs w:val="20"/>
              </w:rPr>
              <w:t>GMP, licences and inspection history</w:t>
            </w:r>
          </w:p>
        </w:tc>
        <w:tc>
          <w:tcPr>
            <w:tcW w:w="6258" w:type="dxa"/>
            <w:vAlign w:val="center"/>
          </w:tcPr>
          <w:p w14:paraId="1BCF6EC7" w14:textId="53D9F280" w:rsidR="00B43338" w:rsidRPr="00DE3887" w:rsidRDefault="003578FF">
            <w:pPr>
              <w:spacing w:after="160"/>
              <w:rPr>
                <w:rFonts w:ascii="Poppins" w:hAnsi="Poppins" w:cs="Poppins"/>
                <w:color w:val="044054"/>
                <w:sz w:val="20"/>
                <w:szCs w:val="20"/>
              </w:rPr>
            </w:pPr>
            <w:r w:rsidRPr="003578FF">
              <w:rPr>
                <w:rFonts w:ascii="Poppins" w:hAnsi="Poppins" w:cs="Poppins"/>
                <w:color w:val="044054"/>
                <w:sz w:val="20"/>
                <w:szCs w:val="20"/>
              </w:rPr>
              <w:t>Confirm GMP status, applicable licences, recent inspection outcomes, audit readiness and any regulatory commitments that may affect delivery.</w:t>
            </w:r>
          </w:p>
        </w:tc>
        <w:tc>
          <w:tcPr>
            <w:tcW w:w="1134" w:type="dxa"/>
            <w:vAlign w:val="center"/>
          </w:tcPr>
          <w:p w14:paraId="7FD9850E" w14:textId="5066A1DD" w:rsidR="00B43338" w:rsidRPr="00DE3887" w:rsidRDefault="00B43338">
            <w:pPr>
              <w:spacing w:after="160"/>
              <w:rPr>
                <w:rFonts w:ascii="Poppins" w:hAnsi="Poppins" w:cs="Poppins"/>
                <w:color w:val="044054"/>
                <w:sz w:val="20"/>
                <w:szCs w:val="20"/>
              </w:rPr>
            </w:pPr>
          </w:p>
        </w:tc>
        <w:tc>
          <w:tcPr>
            <w:tcW w:w="1134" w:type="dxa"/>
          </w:tcPr>
          <w:p w14:paraId="5E5039B5" w14:textId="77777777" w:rsidR="00B43338" w:rsidRPr="00DE3887" w:rsidRDefault="00B43338">
            <w:pPr>
              <w:rPr>
                <w:rFonts w:ascii="Poppins" w:hAnsi="Poppins" w:cs="Poppins"/>
                <w:color w:val="044054"/>
                <w:sz w:val="20"/>
                <w:szCs w:val="20"/>
              </w:rPr>
            </w:pPr>
          </w:p>
        </w:tc>
        <w:tc>
          <w:tcPr>
            <w:tcW w:w="5125" w:type="dxa"/>
            <w:vAlign w:val="center"/>
            <w:hideMark/>
          </w:tcPr>
          <w:p w14:paraId="56D27633" w14:textId="7FEDBBF2" w:rsidR="00B43338" w:rsidRPr="00DE3887" w:rsidRDefault="00B43338">
            <w:pPr>
              <w:rPr>
                <w:rFonts w:ascii="Poppins" w:hAnsi="Poppins" w:cs="Poppins"/>
                <w:color w:val="044054"/>
                <w:sz w:val="20"/>
                <w:szCs w:val="20"/>
              </w:rPr>
            </w:pPr>
          </w:p>
        </w:tc>
      </w:tr>
      <w:tr w:rsidR="00B43338" w:rsidRPr="00DE3887" w14:paraId="3F10E208" w14:textId="77777777" w:rsidTr="00374394">
        <w:tc>
          <w:tcPr>
            <w:tcW w:w="2251" w:type="dxa"/>
            <w:vAlign w:val="center"/>
          </w:tcPr>
          <w:p w14:paraId="16746798" w14:textId="75340BBC" w:rsidR="00B43338" w:rsidRPr="00DE3887" w:rsidRDefault="00ED0A42">
            <w:pPr>
              <w:spacing w:after="160"/>
              <w:rPr>
                <w:rFonts w:ascii="Poppins" w:hAnsi="Poppins" w:cs="Poppins"/>
                <w:color w:val="044054"/>
                <w:sz w:val="20"/>
                <w:szCs w:val="20"/>
              </w:rPr>
            </w:pPr>
            <w:r w:rsidRPr="00ED0A42">
              <w:rPr>
                <w:rFonts w:ascii="Poppins" w:hAnsi="Poppins" w:cs="Poppins"/>
                <w:color w:val="044054"/>
                <w:sz w:val="20"/>
                <w:szCs w:val="20"/>
              </w:rPr>
              <w:t>Quality system maturity</w:t>
            </w:r>
          </w:p>
        </w:tc>
        <w:tc>
          <w:tcPr>
            <w:tcW w:w="6258" w:type="dxa"/>
            <w:vAlign w:val="center"/>
          </w:tcPr>
          <w:p w14:paraId="0AB6EF4A" w14:textId="51FDB3F4" w:rsidR="00B43338" w:rsidRPr="00DE3887" w:rsidRDefault="00F11859">
            <w:pPr>
              <w:spacing w:after="160"/>
              <w:rPr>
                <w:rFonts w:ascii="Poppins" w:hAnsi="Poppins" w:cs="Poppins"/>
                <w:color w:val="044054"/>
                <w:sz w:val="20"/>
                <w:szCs w:val="20"/>
              </w:rPr>
            </w:pPr>
            <w:r w:rsidRPr="00F11859">
              <w:rPr>
                <w:rFonts w:ascii="Poppins" w:hAnsi="Poppins" w:cs="Poppins"/>
                <w:color w:val="044054"/>
                <w:sz w:val="20"/>
                <w:szCs w:val="20"/>
              </w:rPr>
              <w:t>Review how deviations, CAPAs, change controls, complaints, investigations, batch disposition and quality oversight are managed.</w:t>
            </w:r>
          </w:p>
        </w:tc>
        <w:tc>
          <w:tcPr>
            <w:tcW w:w="1134" w:type="dxa"/>
            <w:vAlign w:val="center"/>
          </w:tcPr>
          <w:p w14:paraId="27069EC9" w14:textId="6ECEF58E" w:rsidR="00B43338" w:rsidRPr="00DE3887" w:rsidRDefault="00B43338">
            <w:pPr>
              <w:spacing w:after="160"/>
              <w:rPr>
                <w:rFonts w:ascii="Poppins" w:hAnsi="Poppins" w:cs="Poppins"/>
                <w:color w:val="044054"/>
                <w:sz w:val="20"/>
                <w:szCs w:val="20"/>
              </w:rPr>
            </w:pPr>
          </w:p>
        </w:tc>
        <w:tc>
          <w:tcPr>
            <w:tcW w:w="1134" w:type="dxa"/>
          </w:tcPr>
          <w:p w14:paraId="71B574DD" w14:textId="77777777" w:rsidR="00B43338" w:rsidRPr="00DE3887" w:rsidRDefault="00B43338">
            <w:pPr>
              <w:rPr>
                <w:rFonts w:ascii="Poppins" w:hAnsi="Poppins" w:cs="Poppins"/>
                <w:color w:val="044054"/>
                <w:sz w:val="20"/>
                <w:szCs w:val="20"/>
              </w:rPr>
            </w:pPr>
          </w:p>
        </w:tc>
        <w:tc>
          <w:tcPr>
            <w:tcW w:w="5125" w:type="dxa"/>
            <w:vAlign w:val="center"/>
            <w:hideMark/>
          </w:tcPr>
          <w:p w14:paraId="440641A3" w14:textId="6FE9A6EB" w:rsidR="00B43338" w:rsidRPr="00DE3887" w:rsidRDefault="00B43338">
            <w:pPr>
              <w:rPr>
                <w:rFonts w:ascii="Poppins" w:hAnsi="Poppins" w:cs="Poppins"/>
                <w:color w:val="044054"/>
                <w:sz w:val="20"/>
                <w:szCs w:val="20"/>
              </w:rPr>
            </w:pPr>
          </w:p>
        </w:tc>
      </w:tr>
      <w:tr w:rsidR="00B43338" w:rsidRPr="00DE3887" w14:paraId="14344F7F" w14:textId="77777777" w:rsidTr="00374394">
        <w:tc>
          <w:tcPr>
            <w:tcW w:w="2251" w:type="dxa"/>
            <w:vAlign w:val="center"/>
          </w:tcPr>
          <w:p w14:paraId="05BC2241" w14:textId="4CA06196" w:rsidR="00B43338" w:rsidRPr="00DE3887" w:rsidRDefault="006B05C1">
            <w:pPr>
              <w:spacing w:after="160"/>
              <w:rPr>
                <w:rFonts w:ascii="Poppins" w:hAnsi="Poppins" w:cs="Poppins"/>
                <w:color w:val="044054"/>
                <w:sz w:val="20"/>
                <w:szCs w:val="20"/>
              </w:rPr>
            </w:pPr>
            <w:r w:rsidRPr="006B05C1">
              <w:rPr>
                <w:rFonts w:ascii="Poppins" w:hAnsi="Poppins" w:cs="Poppins"/>
                <w:color w:val="044054"/>
                <w:sz w:val="20"/>
                <w:szCs w:val="20"/>
              </w:rPr>
              <w:t>Equipment, facility and scale fit</w:t>
            </w:r>
          </w:p>
        </w:tc>
        <w:tc>
          <w:tcPr>
            <w:tcW w:w="6258" w:type="dxa"/>
            <w:vAlign w:val="center"/>
          </w:tcPr>
          <w:p w14:paraId="1D7AC6D2" w14:textId="6B87AD5D" w:rsidR="00B43338" w:rsidRPr="00DE3887" w:rsidRDefault="009B34EE">
            <w:pPr>
              <w:spacing w:after="160"/>
              <w:rPr>
                <w:rFonts w:ascii="Poppins" w:hAnsi="Poppins" w:cs="Poppins"/>
                <w:color w:val="044054"/>
                <w:sz w:val="20"/>
                <w:szCs w:val="20"/>
              </w:rPr>
            </w:pPr>
            <w:r w:rsidRPr="009B34EE">
              <w:rPr>
                <w:rFonts w:ascii="Poppins" w:hAnsi="Poppins" w:cs="Poppins"/>
                <w:color w:val="044054"/>
                <w:sz w:val="20"/>
                <w:szCs w:val="20"/>
              </w:rPr>
              <w:t>Check whether the proposed equipment, facility, containment, utilities, batch size and scale-up route fit the project need.</w:t>
            </w:r>
          </w:p>
        </w:tc>
        <w:tc>
          <w:tcPr>
            <w:tcW w:w="1134" w:type="dxa"/>
            <w:vAlign w:val="center"/>
          </w:tcPr>
          <w:p w14:paraId="0A2A2A67" w14:textId="6CFE5D04" w:rsidR="00B43338" w:rsidRPr="00DE3887" w:rsidRDefault="00B43338">
            <w:pPr>
              <w:spacing w:after="160"/>
              <w:rPr>
                <w:rFonts w:ascii="Poppins" w:hAnsi="Poppins" w:cs="Poppins"/>
                <w:color w:val="044054"/>
                <w:sz w:val="20"/>
                <w:szCs w:val="20"/>
              </w:rPr>
            </w:pPr>
          </w:p>
        </w:tc>
        <w:tc>
          <w:tcPr>
            <w:tcW w:w="1134" w:type="dxa"/>
          </w:tcPr>
          <w:p w14:paraId="6A4F4F50" w14:textId="77777777" w:rsidR="00B43338" w:rsidRPr="00DE3887" w:rsidRDefault="00B43338">
            <w:pPr>
              <w:rPr>
                <w:rFonts w:ascii="Poppins" w:hAnsi="Poppins" w:cs="Poppins"/>
                <w:color w:val="044054"/>
                <w:sz w:val="20"/>
                <w:szCs w:val="20"/>
              </w:rPr>
            </w:pPr>
          </w:p>
        </w:tc>
        <w:tc>
          <w:tcPr>
            <w:tcW w:w="5125" w:type="dxa"/>
            <w:vAlign w:val="center"/>
            <w:hideMark/>
          </w:tcPr>
          <w:p w14:paraId="0EA9692B" w14:textId="7BC5B21F" w:rsidR="00B43338" w:rsidRPr="00DE3887" w:rsidRDefault="00B43338">
            <w:pPr>
              <w:rPr>
                <w:rFonts w:ascii="Poppins" w:hAnsi="Poppins" w:cs="Poppins"/>
                <w:color w:val="044054"/>
                <w:sz w:val="20"/>
                <w:szCs w:val="20"/>
              </w:rPr>
            </w:pPr>
          </w:p>
        </w:tc>
      </w:tr>
      <w:tr w:rsidR="00B43338" w:rsidRPr="00DE3887" w14:paraId="0AEFBB6B" w14:textId="77777777" w:rsidTr="00374394">
        <w:tc>
          <w:tcPr>
            <w:tcW w:w="2251" w:type="dxa"/>
            <w:vAlign w:val="center"/>
          </w:tcPr>
          <w:p w14:paraId="35DA6971" w14:textId="11EFB998" w:rsidR="00B43338" w:rsidRPr="00DE3887" w:rsidRDefault="00A06BCB">
            <w:pPr>
              <w:spacing w:after="160"/>
              <w:rPr>
                <w:rFonts w:ascii="Poppins" w:hAnsi="Poppins" w:cs="Poppins"/>
                <w:color w:val="044054"/>
                <w:sz w:val="20"/>
                <w:szCs w:val="20"/>
              </w:rPr>
            </w:pPr>
            <w:r w:rsidRPr="00A06BCB">
              <w:rPr>
                <w:rFonts w:ascii="Poppins" w:hAnsi="Poppins" w:cs="Poppins"/>
                <w:color w:val="044054"/>
                <w:sz w:val="20"/>
                <w:szCs w:val="20"/>
              </w:rPr>
              <w:t>Capacity and resource availability</w:t>
            </w:r>
          </w:p>
        </w:tc>
        <w:tc>
          <w:tcPr>
            <w:tcW w:w="6258" w:type="dxa"/>
            <w:vAlign w:val="center"/>
          </w:tcPr>
          <w:p w14:paraId="170BF7A2" w14:textId="1ED30D31" w:rsidR="00B43338" w:rsidRPr="00DE3887" w:rsidRDefault="008B2B90">
            <w:pPr>
              <w:spacing w:after="160"/>
              <w:rPr>
                <w:rFonts w:ascii="Poppins" w:hAnsi="Poppins" w:cs="Poppins"/>
                <w:color w:val="044054"/>
                <w:sz w:val="20"/>
                <w:szCs w:val="20"/>
              </w:rPr>
            </w:pPr>
            <w:r w:rsidRPr="008B2B90">
              <w:rPr>
                <w:rFonts w:ascii="Poppins" w:hAnsi="Poppins" w:cs="Poppins"/>
                <w:color w:val="044054"/>
                <w:sz w:val="20"/>
                <w:szCs w:val="20"/>
              </w:rPr>
              <w:t>Understand capacity, lead times, team availability, competing priorities, site workload and whether key people are assigned beyond proposal discussions.</w:t>
            </w:r>
          </w:p>
        </w:tc>
        <w:tc>
          <w:tcPr>
            <w:tcW w:w="1134" w:type="dxa"/>
            <w:vAlign w:val="center"/>
          </w:tcPr>
          <w:p w14:paraId="4127C4B0" w14:textId="38DC741F" w:rsidR="00B43338" w:rsidRPr="00DE3887" w:rsidRDefault="00B43338">
            <w:pPr>
              <w:spacing w:after="160"/>
              <w:rPr>
                <w:rFonts w:ascii="Poppins" w:hAnsi="Poppins" w:cs="Poppins"/>
                <w:color w:val="044054"/>
                <w:sz w:val="20"/>
                <w:szCs w:val="20"/>
              </w:rPr>
            </w:pPr>
          </w:p>
        </w:tc>
        <w:tc>
          <w:tcPr>
            <w:tcW w:w="1134" w:type="dxa"/>
          </w:tcPr>
          <w:p w14:paraId="1C77B151" w14:textId="77777777" w:rsidR="00B43338" w:rsidRPr="00DE3887" w:rsidRDefault="00B43338">
            <w:pPr>
              <w:rPr>
                <w:rFonts w:ascii="Poppins" w:hAnsi="Poppins" w:cs="Poppins"/>
                <w:color w:val="044054"/>
                <w:sz w:val="20"/>
                <w:szCs w:val="20"/>
              </w:rPr>
            </w:pPr>
          </w:p>
        </w:tc>
        <w:tc>
          <w:tcPr>
            <w:tcW w:w="5125" w:type="dxa"/>
            <w:vAlign w:val="center"/>
            <w:hideMark/>
          </w:tcPr>
          <w:p w14:paraId="2DB16EAD" w14:textId="5A918A68" w:rsidR="00B43338" w:rsidRPr="00DE3887" w:rsidRDefault="00B43338">
            <w:pPr>
              <w:rPr>
                <w:rFonts w:ascii="Poppins" w:hAnsi="Poppins" w:cs="Poppins"/>
                <w:color w:val="044054"/>
                <w:sz w:val="20"/>
                <w:szCs w:val="20"/>
              </w:rPr>
            </w:pPr>
          </w:p>
        </w:tc>
      </w:tr>
      <w:tr w:rsidR="00B43338" w:rsidRPr="00DE3887" w14:paraId="2CB47289" w14:textId="77777777" w:rsidTr="00374394">
        <w:tc>
          <w:tcPr>
            <w:tcW w:w="2251" w:type="dxa"/>
            <w:vAlign w:val="center"/>
          </w:tcPr>
          <w:p w14:paraId="29F59FCF" w14:textId="7DA0A0DF" w:rsidR="00B43338" w:rsidRPr="00DE3887" w:rsidRDefault="003B4B41">
            <w:pPr>
              <w:spacing w:after="160"/>
              <w:rPr>
                <w:rFonts w:ascii="Poppins" w:hAnsi="Poppins" w:cs="Poppins"/>
                <w:color w:val="044054"/>
                <w:sz w:val="20"/>
                <w:szCs w:val="20"/>
              </w:rPr>
            </w:pPr>
            <w:r w:rsidRPr="003B4B41">
              <w:rPr>
                <w:rFonts w:ascii="Poppins" w:hAnsi="Poppins" w:cs="Poppins"/>
                <w:color w:val="044054"/>
                <w:sz w:val="20"/>
                <w:szCs w:val="20"/>
              </w:rPr>
              <w:lastRenderedPageBreak/>
              <w:t>Analytical, release and stability support</w:t>
            </w:r>
          </w:p>
        </w:tc>
        <w:tc>
          <w:tcPr>
            <w:tcW w:w="6258" w:type="dxa"/>
            <w:vAlign w:val="center"/>
          </w:tcPr>
          <w:p w14:paraId="4F009AEB" w14:textId="68117980" w:rsidR="00B43338" w:rsidRPr="00DE3887" w:rsidRDefault="00D569A4">
            <w:pPr>
              <w:spacing w:after="160"/>
              <w:rPr>
                <w:rFonts w:ascii="Poppins" w:hAnsi="Poppins" w:cs="Poppins"/>
                <w:color w:val="044054"/>
                <w:sz w:val="20"/>
                <w:szCs w:val="20"/>
              </w:rPr>
            </w:pPr>
            <w:r w:rsidRPr="00D569A4">
              <w:rPr>
                <w:rFonts w:ascii="Poppins" w:hAnsi="Poppins" w:cs="Poppins"/>
                <w:color w:val="044054"/>
                <w:sz w:val="20"/>
                <w:szCs w:val="20"/>
              </w:rPr>
              <w:t>Review analytical capability, method transfer expectations, specifications, release testing, stability storage, data reporting and responsibility boundaries.</w:t>
            </w:r>
          </w:p>
        </w:tc>
        <w:tc>
          <w:tcPr>
            <w:tcW w:w="1134" w:type="dxa"/>
            <w:vAlign w:val="center"/>
          </w:tcPr>
          <w:p w14:paraId="65441797" w14:textId="70B1702D" w:rsidR="00B43338" w:rsidRPr="00DE3887" w:rsidRDefault="00B43338">
            <w:pPr>
              <w:spacing w:after="160"/>
              <w:rPr>
                <w:rFonts w:ascii="Poppins" w:hAnsi="Poppins" w:cs="Poppins"/>
                <w:color w:val="044054"/>
                <w:sz w:val="20"/>
                <w:szCs w:val="20"/>
              </w:rPr>
            </w:pPr>
          </w:p>
        </w:tc>
        <w:tc>
          <w:tcPr>
            <w:tcW w:w="1134" w:type="dxa"/>
          </w:tcPr>
          <w:p w14:paraId="58AD07AA" w14:textId="77777777" w:rsidR="00B43338" w:rsidRPr="00DE3887" w:rsidRDefault="00B43338">
            <w:pPr>
              <w:rPr>
                <w:rFonts w:ascii="Poppins" w:hAnsi="Poppins" w:cs="Poppins"/>
                <w:color w:val="044054"/>
                <w:sz w:val="20"/>
                <w:szCs w:val="20"/>
              </w:rPr>
            </w:pPr>
          </w:p>
        </w:tc>
        <w:tc>
          <w:tcPr>
            <w:tcW w:w="5125" w:type="dxa"/>
            <w:vAlign w:val="center"/>
            <w:hideMark/>
          </w:tcPr>
          <w:p w14:paraId="0049DD1E" w14:textId="3B6CD17A" w:rsidR="00B43338" w:rsidRPr="00DE3887" w:rsidRDefault="00B43338">
            <w:pPr>
              <w:rPr>
                <w:rFonts w:ascii="Poppins" w:hAnsi="Poppins" w:cs="Poppins"/>
                <w:color w:val="044054"/>
                <w:sz w:val="20"/>
                <w:szCs w:val="20"/>
              </w:rPr>
            </w:pPr>
          </w:p>
        </w:tc>
      </w:tr>
      <w:tr w:rsidR="00B43338" w:rsidRPr="00DE3887" w14:paraId="2065FCDA" w14:textId="77777777" w:rsidTr="00374394">
        <w:tc>
          <w:tcPr>
            <w:tcW w:w="2251" w:type="dxa"/>
            <w:vAlign w:val="center"/>
          </w:tcPr>
          <w:p w14:paraId="219AB2D0" w14:textId="6ED2679B" w:rsidR="00B43338" w:rsidRPr="00DE3887" w:rsidRDefault="0046653A">
            <w:pPr>
              <w:spacing w:after="160"/>
              <w:rPr>
                <w:rFonts w:ascii="Poppins" w:hAnsi="Poppins" w:cs="Poppins"/>
                <w:color w:val="044054"/>
                <w:sz w:val="20"/>
                <w:szCs w:val="20"/>
              </w:rPr>
            </w:pPr>
            <w:r w:rsidRPr="0046653A">
              <w:rPr>
                <w:rFonts w:ascii="Poppins" w:hAnsi="Poppins" w:cs="Poppins"/>
                <w:color w:val="044054"/>
                <w:sz w:val="20"/>
                <w:szCs w:val="20"/>
              </w:rPr>
              <w:t>Supply chain and business continuity</w:t>
            </w:r>
          </w:p>
        </w:tc>
        <w:tc>
          <w:tcPr>
            <w:tcW w:w="6258" w:type="dxa"/>
            <w:vAlign w:val="center"/>
          </w:tcPr>
          <w:p w14:paraId="46CA8A89" w14:textId="55163A85" w:rsidR="00B43338" w:rsidRPr="00DE3887" w:rsidRDefault="00EA6DE4">
            <w:pPr>
              <w:spacing w:after="160"/>
              <w:rPr>
                <w:rFonts w:ascii="Poppins" w:hAnsi="Poppins" w:cs="Poppins"/>
                <w:color w:val="044054"/>
                <w:sz w:val="20"/>
                <w:szCs w:val="20"/>
              </w:rPr>
            </w:pPr>
            <w:r w:rsidRPr="00EA6DE4">
              <w:rPr>
                <w:rFonts w:ascii="Poppins" w:hAnsi="Poppins" w:cs="Poppins"/>
                <w:color w:val="044054"/>
                <w:sz w:val="20"/>
                <w:szCs w:val="20"/>
              </w:rPr>
              <w:t>Check raw material availability, supplier qualification, import/export constraints, cold chain, specialist handling, contingency plans and business continuity cover.</w:t>
            </w:r>
          </w:p>
        </w:tc>
        <w:tc>
          <w:tcPr>
            <w:tcW w:w="1134" w:type="dxa"/>
            <w:vAlign w:val="center"/>
          </w:tcPr>
          <w:p w14:paraId="633193B7" w14:textId="58B09843" w:rsidR="00B43338" w:rsidRPr="00DE3887" w:rsidRDefault="00B43338">
            <w:pPr>
              <w:spacing w:after="160"/>
              <w:rPr>
                <w:rFonts w:ascii="Poppins" w:hAnsi="Poppins" w:cs="Poppins"/>
                <w:color w:val="044054"/>
                <w:sz w:val="20"/>
                <w:szCs w:val="20"/>
              </w:rPr>
            </w:pPr>
          </w:p>
        </w:tc>
        <w:tc>
          <w:tcPr>
            <w:tcW w:w="1134" w:type="dxa"/>
          </w:tcPr>
          <w:p w14:paraId="618318BC" w14:textId="77777777" w:rsidR="00B43338" w:rsidRPr="00DE3887" w:rsidRDefault="00B43338">
            <w:pPr>
              <w:rPr>
                <w:rFonts w:ascii="Poppins" w:hAnsi="Poppins" w:cs="Poppins"/>
                <w:color w:val="044054"/>
                <w:sz w:val="20"/>
                <w:szCs w:val="20"/>
              </w:rPr>
            </w:pPr>
          </w:p>
        </w:tc>
        <w:tc>
          <w:tcPr>
            <w:tcW w:w="5125" w:type="dxa"/>
            <w:vAlign w:val="center"/>
            <w:hideMark/>
          </w:tcPr>
          <w:p w14:paraId="7FFCCD89" w14:textId="66623B20" w:rsidR="00B43338" w:rsidRPr="00DE3887" w:rsidRDefault="00B43338">
            <w:pPr>
              <w:rPr>
                <w:rFonts w:ascii="Poppins" w:hAnsi="Poppins" w:cs="Poppins"/>
                <w:color w:val="044054"/>
                <w:sz w:val="20"/>
                <w:szCs w:val="20"/>
              </w:rPr>
            </w:pPr>
          </w:p>
        </w:tc>
      </w:tr>
      <w:tr w:rsidR="00B43338" w:rsidRPr="00DE3887" w14:paraId="18CA379E" w14:textId="77777777" w:rsidTr="00374394">
        <w:tc>
          <w:tcPr>
            <w:tcW w:w="2251" w:type="dxa"/>
            <w:vAlign w:val="center"/>
          </w:tcPr>
          <w:p w14:paraId="03A2093F" w14:textId="1D10CCD6" w:rsidR="00B43338" w:rsidRPr="00DE3887" w:rsidRDefault="008A4372">
            <w:pPr>
              <w:spacing w:after="160"/>
              <w:rPr>
                <w:rFonts w:ascii="Poppins" w:hAnsi="Poppins" w:cs="Poppins"/>
                <w:color w:val="044054"/>
                <w:sz w:val="20"/>
                <w:szCs w:val="20"/>
              </w:rPr>
            </w:pPr>
            <w:r w:rsidRPr="008A4372">
              <w:rPr>
                <w:rFonts w:ascii="Poppins" w:hAnsi="Poppins" w:cs="Poppins"/>
                <w:color w:val="044054"/>
                <w:sz w:val="20"/>
                <w:szCs w:val="20"/>
              </w:rPr>
              <w:t>Project management and communication</w:t>
            </w:r>
          </w:p>
        </w:tc>
        <w:tc>
          <w:tcPr>
            <w:tcW w:w="6258" w:type="dxa"/>
            <w:vAlign w:val="center"/>
          </w:tcPr>
          <w:p w14:paraId="7A496563" w14:textId="3862BB70" w:rsidR="00B43338" w:rsidRPr="00DE3887" w:rsidRDefault="00C469EC">
            <w:pPr>
              <w:spacing w:after="160"/>
              <w:rPr>
                <w:rFonts w:ascii="Poppins" w:hAnsi="Poppins" w:cs="Poppins"/>
                <w:color w:val="044054"/>
                <w:sz w:val="20"/>
                <w:szCs w:val="20"/>
              </w:rPr>
            </w:pPr>
            <w:r w:rsidRPr="00C469EC">
              <w:rPr>
                <w:rFonts w:ascii="Poppins" w:hAnsi="Poppins" w:cs="Poppins"/>
                <w:color w:val="044054"/>
                <w:sz w:val="20"/>
                <w:szCs w:val="20"/>
              </w:rPr>
              <w:t>Assess governance, meeting cadence, reporting, escalation routes, decision ownership, issue management and how multiple sites or teams will be coordinated.</w:t>
            </w:r>
          </w:p>
        </w:tc>
        <w:tc>
          <w:tcPr>
            <w:tcW w:w="1134" w:type="dxa"/>
            <w:vAlign w:val="center"/>
          </w:tcPr>
          <w:p w14:paraId="6CC38D4F" w14:textId="4A5AEB0A" w:rsidR="00B43338" w:rsidRPr="00DE3887" w:rsidRDefault="00B43338">
            <w:pPr>
              <w:spacing w:after="160"/>
              <w:rPr>
                <w:rFonts w:ascii="Poppins" w:hAnsi="Poppins" w:cs="Poppins"/>
                <w:color w:val="044054"/>
                <w:sz w:val="20"/>
                <w:szCs w:val="20"/>
              </w:rPr>
            </w:pPr>
          </w:p>
        </w:tc>
        <w:tc>
          <w:tcPr>
            <w:tcW w:w="1134" w:type="dxa"/>
          </w:tcPr>
          <w:p w14:paraId="65C9989F" w14:textId="77777777" w:rsidR="00B43338" w:rsidRPr="00DE3887" w:rsidRDefault="00B43338">
            <w:pPr>
              <w:rPr>
                <w:rFonts w:ascii="Poppins" w:hAnsi="Poppins" w:cs="Poppins"/>
                <w:color w:val="044054"/>
                <w:sz w:val="20"/>
                <w:szCs w:val="20"/>
              </w:rPr>
            </w:pPr>
          </w:p>
        </w:tc>
        <w:tc>
          <w:tcPr>
            <w:tcW w:w="5125" w:type="dxa"/>
            <w:vAlign w:val="center"/>
            <w:hideMark/>
          </w:tcPr>
          <w:p w14:paraId="251103C4" w14:textId="53CC75A2" w:rsidR="00B43338" w:rsidRPr="00DE3887" w:rsidRDefault="00B43338">
            <w:pPr>
              <w:rPr>
                <w:rFonts w:ascii="Poppins" w:hAnsi="Poppins" w:cs="Poppins"/>
                <w:color w:val="044054"/>
                <w:sz w:val="20"/>
                <w:szCs w:val="20"/>
              </w:rPr>
            </w:pPr>
          </w:p>
        </w:tc>
      </w:tr>
      <w:tr w:rsidR="00B43338" w:rsidRPr="00DE3887" w14:paraId="26D19FDA" w14:textId="77777777" w:rsidTr="00374394">
        <w:tc>
          <w:tcPr>
            <w:tcW w:w="2251" w:type="dxa"/>
            <w:vAlign w:val="center"/>
          </w:tcPr>
          <w:p w14:paraId="22E21870" w14:textId="46094C24" w:rsidR="00B43338" w:rsidRPr="00DE3887" w:rsidRDefault="001818F2">
            <w:pPr>
              <w:rPr>
                <w:rFonts w:ascii="Poppins" w:hAnsi="Poppins" w:cs="Poppins"/>
                <w:color w:val="044054"/>
                <w:sz w:val="20"/>
                <w:szCs w:val="20"/>
              </w:rPr>
            </w:pPr>
            <w:r w:rsidRPr="001818F2">
              <w:rPr>
                <w:rFonts w:ascii="Poppins" w:hAnsi="Poppins" w:cs="Poppins"/>
                <w:color w:val="044054"/>
                <w:sz w:val="20"/>
                <w:szCs w:val="20"/>
              </w:rPr>
              <w:t>Commercial assumptions and contracting</w:t>
            </w:r>
          </w:p>
        </w:tc>
        <w:tc>
          <w:tcPr>
            <w:tcW w:w="6258" w:type="dxa"/>
            <w:vAlign w:val="center"/>
          </w:tcPr>
          <w:p w14:paraId="56D03FC7" w14:textId="5B5ADCA1" w:rsidR="00B43338" w:rsidRPr="00147D02" w:rsidRDefault="001E79B0">
            <w:pPr>
              <w:rPr>
                <w:rFonts w:ascii="Poppins" w:hAnsi="Poppins" w:cs="Poppins"/>
                <w:color w:val="044054"/>
                <w:sz w:val="20"/>
                <w:szCs w:val="20"/>
              </w:rPr>
            </w:pPr>
            <w:r w:rsidRPr="001E79B0">
              <w:rPr>
                <w:rFonts w:ascii="Poppins" w:hAnsi="Poppins" w:cs="Poppins"/>
                <w:color w:val="044054"/>
                <w:sz w:val="20"/>
                <w:szCs w:val="20"/>
              </w:rPr>
              <w:t>Review pricing assumptions, exclusions, change control trigger points, payment terms, cancellation terms, IP position and master service agreement requirements.</w:t>
            </w:r>
          </w:p>
        </w:tc>
        <w:tc>
          <w:tcPr>
            <w:tcW w:w="1134" w:type="dxa"/>
            <w:vAlign w:val="center"/>
          </w:tcPr>
          <w:p w14:paraId="0E2B8CE3" w14:textId="53BD3D09" w:rsidR="00B43338" w:rsidRPr="00147D02" w:rsidRDefault="00B43338">
            <w:pPr>
              <w:rPr>
                <w:rFonts w:ascii="Poppins" w:hAnsi="Poppins" w:cs="Poppins"/>
                <w:color w:val="044054"/>
                <w:sz w:val="20"/>
                <w:szCs w:val="20"/>
              </w:rPr>
            </w:pPr>
          </w:p>
        </w:tc>
        <w:tc>
          <w:tcPr>
            <w:tcW w:w="1134" w:type="dxa"/>
          </w:tcPr>
          <w:p w14:paraId="5E99D28E" w14:textId="77777777" w:rsidR="00B43338" w:rsidRPr="00DE3887" w:rsidRDefault="00B43338">
            <w:pPr>
              <w:rPr>
                <w:rFonts w:ascii="Poppins" w:hAnsi="Poppins" w:cs="Poppins"/>
                <w:color w:val="044054"/>
                <w:sz w:val="20"/>
                <w:szCs w:val="20"/>
              </w:rPr>
            </w:pPr>
          </w:p>
        </w:tc>
        <w:tc>
          <w:tcPr>
            <w:tcW w:w="5125" w:type="dxa"/>
            <w:vAlign w:val="center"/>
          </w:tcPr>
          <w:p w14:paraId="37C8A0E7" w14:textId="5B40C386" w:rsidR="00B43338" w:rsidRPr="00DE3887" w:rsidRDefault="00B43338">
            <w:pPr>
              <w:rPr>
                <w:rFonts w:ascii="Poppins" w:hAnsi="Poppins" w:cs="Poppins"/>
                <w:color w:val="044054"/>
                <w:sz w:val="20"/>
                <w:szCs w:val="20"/>
              </w:rPr>
            </w:pPr>
          </w:p>
        </w:tc>
      </w:tr>
      <w:tr w:rsidR="00B43338" w:rsidRPr="00DE3887" w14:paraId="388CA274" w14:textId="77777777" w:rsidTr="00374394">
        <w:tc>
          <w:tcPr>
            <w:tcW w:w="2251" w:type="dxa"/>
            <w:vAlign w:val="center"/>
          </w:tcPr>
          <w:p w14:paraId="34FA6235" w14:textId="6698E57C" w:rsidR="00B43338" w:rsidRDefault="009175CE">
            <w:pPr>
              <w:rPr>
                <w:rFonts w:ascii="Poppins" w:hAnsi="Poppins" w:cs="Poppins"/>
                <w:color w:val="044054"/>
                <w:sz w:val="20"/>
                <w:szCs w:val="20"/>
              </w:rPr>
            </w:pPr>
            <w:r w:rsidRPr="009175CE">
              <w:rPr>
                <w:rFonts w:ascii="Poppins" w:hAnsi="Poppins" w:cs="Poppins"/>
                <w:color w:val="044054"/>
                <w:sz w:val="20"/>
                <w:szCs w:val="20"/>
              </w:rPr>
              <w:t>People and delivery team fit</w:t>
            </w:r>
          </w:p>
        </w:tc>
        <w:tc>
          <w:tcPr>
            <w:tcW w:w="6258" w:type="dxa"/>
            <w:vAlign w:val="center"/>
          </w:tcPr>
          <w:p w14:paraId="04966A0B" w14:textId="150E1393" w:rsidR="00B43338" w:rsidRPr="00147D02" w:rsidRDefault="003410D3">
            <w:pPr>
              <w:rPr>
                <w:rFonts w:ascii="Poppins" w:hAnsi="Poppins" w:cs="Poppins"/>
                <w:color w:val="044054"/>
                <w:sz w:val="20"/>
                <w:szCs w:val="20"/>
              </w:rPr>
            </w:pPr>
            <w:r w:rsidRPr="003410D3">
              <w:rPr>
                <w:rFonts w:ascii="Poppins" w:hAnsi="Poppins" w:cs="Poppins"/>
                <w:color w:val="044054"/>
                <w:sz w:val="20"/>
                <w:szCs w:val="20"/>
              </w:rPr>
              <w:t xml:space="preserve">Confirm who will </w:t>
            </w:r>
            <w:proofErr w:type="gramStart"/>
            <w:r w:rsidRPr="003410D3">
              <w:rPr>
                <w:rFonts w:ascii="Poppins" w:hAnsi="Poppins" w:cs="Poppins"/>
                <w:color w:val="044054"/>
                <w:sz w:val="20"/>
                <w:szCs w:val="20"/>
              </w:rPr>
              <w:t>actually deliver</w:t>
            </w:r>
            <w:proofErr w:type="gramEnd"/>
            <w:r w:rsidRPr="003410D3">
              <w:rPr>
                <w:rFonts w:ascii="Poppins" w:hAnsi="Poppins" w:cs="Poppins"/>
                <w:color w:val="044054"/>
                <w:sz w:val="20"/>
                <w:szCs w:val="20"/>
              </w:rPr>
              <w:t>, oversee and be accountable for the work, and whether the delivery team has been engaged during due diligence.</w:t>
            </w:r>
          </w:p>
        </w:tc>
        <w:tc>
          <w:tcPr>
            <w:tcW w:w="1134" w:type="dxa"/>
            <w:vAlign w:val="center"/>
          </w:tcPr>
          <w:p w14:paraId="196ED2DC" w14:textId="5BA07BBF" w:rsidR="00B43338" w:rsidRPr="00147D02" w:rsidRDefault="00B43338">
            <w:pPr>
              <w:rPr>
                <w:rFonts w:ascii="Poppins" w:hAnsi="Poppins" w:cs="Poppins"/>
                <w:color w:val="044054"/>
                <w:sz w:val="20"/>
                <w:szCs w:val="20"/>
              </w:rPr>
            </w:pPr>
          </w:p>
        </w:tc>
        <w:tc>
          <w:tcPr>
            <w:tcW w:w="1134" w:type="dxa"/>
          </w:tcPr>
          <w:p w14:paraId="26C9757D" w14:textId="77777777" w:rsidR="00B43338" w:rsidRPr="00DE3887" w:rsidRDefault="00B43338">
            <w:pPr>
              <w:rPr>
                <w:rFonts w:ascii="Poppins" w:hAnsi="Poppins" w:cs="Poppins"/>
                <w:color w:val="044054"/>
                <w:sz w:val="20"/>
                <w:szCs w:val="20"/>
              </w:rPr>
            </w:pPr>
          </w:p>
        </w:tc>
        <w:tc>
          <w:tcPr>
            <w:tcW w:w="5125" w:type="dxa"/>
            <w:vAlign w:val="center"/>
          </w:tcPr>
          <w:p w14:paraId="4B9BF180" w14:textId="17FB827B" w:rsidR="00B43338" w:rsidRPr="00DE3887" w:rsidRDefault="00B43338">
            <w:pPr>
              <w:rPr>
                <w:rFonts w:ascii="Poppins" w:hAnsi="Poppins" w:cs="Poppins"/>
                <w:color w:val="044054"/>
                <w:sz w:val="20"/>
                <w:szCs w:val="20"/>
              </w:rPr>
            </w:pPr>
          </w:p>
        </w:tc>
      </w:tr>
      <w:tr w:rsidR="003410D3" w:rsidRPr="00DE3887" w14:paraId="441B7A01" w14:textId="77777777" w:rsidTr="00374394">
        <w:tc>
          <w:tcPr>
            <w:tcW w:w="2251" w:type="dxa"/>
            <w:vAlign w:val="center"/>
          </w:tcPr>
          <w:p w14:paraId="111E3642" w14:textId="1534DF5E" w:rsidR="003410D3" w:rsidRPr="009175CE" w:rsidRDefault="00D33A1B">
            <w:pPr>
              <w:rPr>
                <w:rFonts w:ascii="Poppins" w:hAnsi="Poppins" w:cs="Poppins"/>
                <w:color w:val="044054"/>
                <w:sz w:val="20"/>
                <w:szCs w:val="20"/>
              </w:rPr>
            </w:pPr>
            <w:r w:rsidRPr="00D33A1B">
              <w:rPr>
                <w:rFonts w:ascii="Poppins" w:hAnsi="Poppins" w:cs="Poppins"/>
                <w:color w:val="044054"/>
                <w:sz w:val="20"/>
                <w:szCs w:val="20"/>
              </w:rPr>
              <w:t>Overall risk and decision</w:t>
            </w:r>
          </w:p>
        </w:tc>
        <w:tc>
          <w:tcPr>
            <w:tcW w:w="6258" w:type="dxa"/>
            <w:vAlign w:val="center"/>
          </w:tcPr>
          <w:p w14:paraId="4F1438D3" w14:textId="395B13E3" w:rsidR="003410D3" w:rsidRPr="003410D3" w:rsidRDefault="00451F51">
            <w:pPr>
              <w:rPr>
                <w:rFonts w:ascii="Poppins" w:hAnsi="Poppins" w:cs="Poppins"/>
                <w:color w:val="044054"/>
                <w:sz w:val="20"/>
                <w:szCs w:val="20"/>
              </w:rPr>
            </w:pPr>
            <w:r w:rsidRPr="00451F51">
              <w:rPr>
                <w:rFonts w:ascii="Poppins" w:hAnsi="Poppins" w:cs="Poppins"/>
                <w:color w:val="044054"/>
                <w:sz w:val="20"/>
                <w:szCs w:val="20"/>
              </w:rPr>
              <w:t>Record key risks, required mitigations, open questions, stop/go issues and the final recommendation before award or contract negotiation.</w:t>
            </w:r>
          </w:p>
        </w:tc>
        <w:tc>
          <w:tcPr>
            <w:tcW w:w="1134" w:type="dxa"/>
            <w:vAlign w:val="center"/>
          </w:tcPr>
          <w:p w14:paraId="55D4CEFE" w14:textId="77777777" w:rsidR="003410D3" w:rsidRPr="00147D02" w:rsidRDefault="003410D3">
            <w:pPr>
              <w:rPr>
                <w:rFonts w:ascii="Poppins" w:hAnsi="Poppins" w:cs="Poppins"/>
                <w:color w:val="044054"/>
                <w:sz w:val="20"/>
                <w:szCs w:val="20"/>
              </w:rPr>
            </w:pPr>
          </w:p>
        </w:tc>
        <w:tc>
          <w:tcPr>
            <w:tcW w:w="1134" w:type="dxa"/>
          </w:tcPr>
          <w:p w14:paraId="6015C608" w14:textId="77777777" w:rsidR="003410D3" w:rsidRPr="00DE3887" w:rsidRDefault="003410D3">
            <w:pPr>
              <w:rPr>
                <w:rFonts w:ascii="Poppins" w:hAnsi="Poppins" w:cs="Poppins"/>
                <w:color w:val="044054"/>
                <w:sz w:val="20"/>
                <w:szCs w:val="20"/>
              </w:rPr>
            </w:pPr>
          </w:p>
        </w:tc>
        <w:tc>
          <w:tcPr>
            <w:tcW w:w="5125" w:type="dxa"/>
            <w:vAlign w:val="center"/>
          </w:tcPr>
          <w:p w14:paraId="3E5AFFFE" w14:textId="77777777" w:rsidR="003410D3" w:rsidRPr="00DE3887" w:rsidRDefault="003410D3">
            <w:pPr>
              <w:rPr>
                <w:rFonts w:ascii="Poppins" w:hAnsi="Poppins" w:cs="Poppins"/>
                <w:color w:val="044054"/>
                <w:sz w:val="20"/>
                <w:szCs w:val="20"/>
              </w:rPr>
            </w:pPr>
          </w:p>
        </w:tc>
      </w:tr>
    </w:tbl>
    <w:p w14:paraId="485FDC84" w14:textId="35F88CF7" w:rsidR="00A04329" w:rsidRDefault="00A04329">
      <w:pPr>
        <w:rPr>
          <w:rFonts w:ascii="Poppins" w:hAnsi="Poppins" w:cs="Poppins"/>
          <w:b/>
          <w:bCs/>
          <w:color w:val="044054"/>
        </w:rPr>
      </w:pPr>
    </w:p>
    <w:p w14:paraId="3F9E17B2" w14:textId="15398C31" w:rsidR="00A26125" w:rsidRDefault="00102A96">
      <w:pPr>
        <w:rPr>
          <w:rFonts w:ascii="Poppins" w:hAnsi="Poppins" w:cs="Poppins"/>
          <w:b/>
          <w:bCs/>
          <w:color w:val="044054"/>
        </w:rPr>
      </w:pPr>
      <w:r w:rsidRPr="00102A96">
        <w:rPr>
          <w:rFonts w:ascii="Poppins" w:hAnsi="Poppins" w:cs="Poppins"/>
          <w:b/>
          <w:bCs/>
          <w:color w:val="044054"/>
        </w:rPr>
        <w:t>Due diligence should test delivery confidence, not just compliance. If a risk cannot be closed before selection, make sure it is owned, costed and reflected in the final decision.</w:t>
      </w:r>
    </w:p>
    <w:sectPr w:rsidR="00A26125" w:rsidSect="00935B71">
      <w:headerReference w:type="default" r:id="rId10"/>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0C8205" w14:textId="77777777" w:rsidR="00383BDD" w:rsidRDefault="00383BDD" w:rsidP="0074510D">
      <w:pPr>
        <w:spacing w:after="0" w:line="240" w:lineRule="auto"/>
      </w:pPr>
      <w:r>
        <w:separator/>
      </w:r>
    </w:p>
  </w:endnote>
  <w:endnote w:type="continuationSeparator" w:id="0">
    <w:p w14:paraId="065E7A54" w14:textId="77777777" w:rsidR="00383BDD" w:rsidRDefault="00383BDD" w:rsidP="0074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Medium">
    <w:panose1 w:val="000006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FCA4D0" w14:textId="77777777" w:rsidR="00383BDD" w:rsidRDefault="00383BDD" w:rsidP="0074510D">
      <w:pPr>
        <w:spacing w:after="0" w:line="240" w:lineRule="auto"/>
      </w:pPr>
      <w:r>
        <w:separator/>
      </w:r>
    </w:p>
  </w:footnote>
  <w:footnote w:type="continuationSeparator" w:id="0">
    <w:p w14:paraId="55234C43" w14:textId="77777777" w:rsidR="00383BDD" w:rsidRDefault="00383BDD" w:rsidP="00745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AFA7E" w14:textId="3557B5E6" w:rsidR="0074510D" w:rsidRDefault="00C73087">
    <w:pPr>
      <w:pStyle w:val="Header"/>
    </w:pPr>
    <w:r>
      <w:rPr>
        <w:noProof/>
      </w:rPr>
      <w:drawing>
        <wp:anchor distT="0" distB="0" distL="114300" distR="114300" simplePos="0" relativeHeight="251659264" behindDoc="1" locked="0" layoutInCell="0" allowOverlap="1" wp14:anchorId="00EA0895" wp14:editId="5A117A1D">
          <wp:simplePos x="0" y="0"/>
          <wp:positionH relativeFrom="margin">
            <wp:posOffset>-552261</wp:posOffset>
          </wp:positionH>
          <wp:positionV relativeFrom="margin">
            <wp:posOffset>-292238</wp:posOffset>
          </wp:positionV>
          <wp:extent cx="10094077" cy="6599611"/>
          <wp:effectExtent l="0" t="0" r="2540" b="4445"/>
          <wp:wrapNone/>
          <wp:docPr id="2" name="WordPictureWatermark1166668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166668788"/>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18295" cy="661544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0D"/>
    <w:rsid w:val="00050111"/>
    <w:rsid w:val="0005033D"/>
    <w:rsid w:val="00065E40"/>
    <w:rsid w:val="000C2DD8"/>
    <w:rsid w:val="000D3BFE"/>
    <w:rsid w:val="00102A96"/>
    <w:rsid w:val="00147D02"/>
    <w:rsid w:val="001746A4"/>
    <w:rsid w:val="001818F2"/>
    <w:rsid w:val="00197565"/>
    <w:rsid w:val="001C2E35"/>
    <w:rsid w:val="001D718F"/>
    <w:rsid w:val="001E2C1E"/>
    <w:rsid w:val="001E79B0"/>
    <w:rsid w:val="001F54A6"/>
    <w:rsid w:val="00234562"/>
    <w:rsid w:val="002370FB"/>
    <w:rsid w:val="002413D3"/>
    <w:rsid w:val="00244436"/>
    <w:rsid w:val="002679B5"/>
    <w:rsid w:val="002807C7"/>
    <w:rsid w:val="00287E4A"/>
    <w:rsid w:val="002A6457"/>
    <w:rsid w:val="002B46B4"/>
    <w:rsid w:val="003410D3"/>
    <w:rsid w:val="00355D66"/>
    <w:rsid w:val="003578FF"/>
    <w:rsid w:val="00374394"/>
    <w:rsid w:val="00383BDD"/>
    <w:rsid w:val="00391D5D"/>
    <w:rsid w:val="00393A60"/>
    <w:rsid w:val="003B2834"/>
    <w:rsid w:val="003B2F55"/>
    <w:rsid w:val="003B4B41"/>
    <w:rsid w:val="003C614C"/>
    <w:rsid w:val="003F2419"/>
    <w:rsid w:val="00411998"/>
    <w:rsid w:val="00451F51"/>
    <w:rsid w:val="0046653A"/>
    <w:rsid w:val="00476A56"/>
    <w:rsid w:val="00480A1C"/>
    <w:rsid w:val="00485DFE"/>
    <w:rsid w:val="00486ED0"/>
    <w:rsid w:val="00500A6F"/>
    <w:rsid w:val="00515180"/>
    <w:rsid w:val="00557CF6"/>
    <w:rsid w:val="00561AD2"/>
    <w:rsid w:val="00591EB4"/>
    <w:rsid w:val="005B0A48"/>
    <w:rsid w:val="005F4E15"/>
    <w:rsid w:val="006216D8"/>
    <w:rsid w:val="0062798B"/>
    <w:rsid w:val="0065741F"/>
    <w:rsid w:val="0069326C"/>
    <w:rsid w:val="006B05C1"/>
    <w:rsid w:val="006E4B74"/>
    <w:rsid w:val="0070168E"/>
    <w:rsid w:val="0073535B"/>
    <w:rsid w:val="0074510D"/>
    <w:rsid w:val="007460B1"/>
    <w:rsid w:val="0078774C"/>
    <w:rsid w:val="007D0700"/>
    <w:rsid w:val="007D5A64"/>
    <w:rsid w:val="007D5F1A"/>
    <w:rsid w:val="007F1A9F"/>
    <w:rsid w:val="00816937"/>
    <w:rsid w:val="00896B88"/>
    <w:rsid w:val="008A4372"/>
    <w:rsid w:val="008B2B90"/>
    <w:rsid w:val="008C7BC2"/>
    <w:rsid w:val="008E1BD1"/>
    <w:rsid w:val="009175CE"/>
    <w:rsid w:val="00935605"/>
    <w:rsid w:val="00935B71"/>
    <w:rsid w:val="009B2E0F"/>
    <w:rsid w:val="009B34EE"/>
    <w:rsid w:val="009B6A4D"/>
    <w:rsid w:val="009C1895"/>
    <w:rsid w:val="009F17D3"/>
    <w:rsid w:val="00A04329"/>
    <w:rsid w:val="00A06BCB"/>
    <w:rsid w:val="00A26125"/>
    <w:rsid w:val="00AC3C9B"/>
    <w:rsid w:val="00AF67FA"/>
    <w:rsid w:val="00B26854"/>
    <w:rsid w:val="00B43338"/>
    <w:rsid w:val="00B564DA"/>
    <w:rsid w:val="00B66ECF"/>
    <w:rsid w:val="00B85CCE"/>
    <w:rsid w:val="00BA6619"/>
    <w:rsid w:val="00BC46D3"/>
    <w:rsid w:val="00BD164E"/>
    <w:rsid w:val="00C103DE"/>
    <w:rsid w:val="00C12D5C"/>
    <w:rsid w:val="00C15D66"/>
    <w:rsid w:val="00C469EC"/>
    <w:rsid w:val="00C73087"/>
    <w:rsid w:val="00C80C5C"/>
    <w:rsid w:val="00D33A1B"/>
    <w:rsid w:val="00D41DFD"/>
    <w:rsid w:val="00D459DA"/>
    <w:rsid w:val="00D45CAD"/>
    <w:rsid w:val="00D569A4"/>
    <w:rsid w:val="00D6056C"/>
    <w:rsid w:val="00DE3887"/>
    <w:rsid w:val="00E01B0C"/>
    <w:rsid w:val="00E70D34"/>
    <w:rsid w:val="00E8411E"/>
    <w:rsid w:val="00E93DE0"/>
    <w:rsid w:val="00EA6DE4"/>
    <w:rsid w:val="00EC2624"/>
    <w:rsid w:val="00ED0A42"/>
    <w:rsid w:val="00ED3921"/>
    <w:rsid w:val="00EE714A"/>
    <w:rsid w:val="00EF1E36"/>
    <w:rsid w:val="00EF44EF"/>
    <w:rsid w:val="00F11859"/>
    <w:rsid w:val="00F2194E"/>
    <w:rsid w:val="00F64C13"/>
    <w:rsid w:val="00F72A67"/>
    <w:rsid w:val="00FA68DB"/>
    <w:rsid w:val="00FB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76FA"/>
  <w15:chartTrackingRefBased/>
  <w15:docId w15:val="{4AD9DF93-A987-D045-84A3-2DB0FB09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D"/>
  </w:style>
  <w:style w:type="paragraph" w:styleId="Heading1">
    <w:name w:val="heading 1"/>
    <w:basedOn w:val="Normal"/>
    <w:next w:val="Normal"/>
    <w:link w:val="Heading1Char"/>
    <w:uiPriority w:val="9"/>
    <w:qFormat/>
    <w:rsid w:val="00234562"/>
    <w:pPr>
      <w:ind w:left="-851"/>
      <w:outlineLvl w:val="0"/>
    </w:pPr>
    <w:rPr>
      <w:rFonts w:ascii="Poppins" w:hAnsi="Poppins" w:cs="Poppins"/>
      <w:sz w:val="44"/>
      <w:szCs w:val="44"/>
    </w:rPr>
  </w:style>
  <w:style w:type="paragraph" w:styleId="Heading2">
    <w:name w:val="heading 2"/>
    <w:basedOn w:val="Normal"/>
    <w:next w:val="Normal"/>
    <w:link w:val="Heading2Char"/>
    <w:uiPriority w:val="9"/>
    <w:unhideWhenUsed/>
    <w:qFormat/>
    <w:rsid w:val="00745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62"/>
    <w:rPr>
      <w:rFonts w:ascii="Poppins" w:hAnsi="Poppins" w:cs="Poppins"/>
      <w:sz w:val="44"/>
      <w:szCs w:val="44"/>
    </w:rPr>
  </w:style>
  <w:style w:type="character" w:customStyle="1" w:styleId="Heading2Char">
    <w:name w:val="Heading 2 Char"/>
    <w:basedOn w:val="DefaultParagraphFont"/>
    <w:link w:val="Heading2"/>
    <w:uiPriority w:val="9"/>
    <w:rsid w:val="00745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10D"/>
    <w:rPr>
      <w:rFonts w:eastAsiaTheme="majorEastAsia" w:cstheme="majorBidi"/>
      <w:color w:val="272727" w:themeColor="text1" w:themeTint="D8"/>
    </w:rPr>
  </w:style>
  <w:style w:type="paragraph" w:styleId="Title">
    <w:name w:val="Title"/>
    <w:basedOn w:val="Normal"/>
    <w:next w:val="Normal"/>
    <w:link w:val="TitleChar"/>
    <w:uiPriority w:val="10"/>
    <w:qFormat/>
    <w:rsid w:val="00745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10D"/>
    <w:pPr>
      <w:spacing w:before="160"/>
      <w:jc w:val="center"/>
    </w:pPr>
    <w:rPr>
      <w:i/>
      <w:iCs/>
      <w:color w:val="404040" w:themeColor="text1" w:themeTint="BF"/>
    </w:rPr>
  </w:style>
  <w:style w:type="character" w:customStyle="1" w:styleId="QuoteChar">
    <w:name w:val="Quote Char"/>
    <w:basedOn w:val="DefaultParagraphFont"/>
    <w:link w:val="Quote"/>
    <w:uiPriority w:val="29"/>
    <w:rsid w:val="0074510D"/>
    <w:rPr>
      <w:i/>
      <w:iCs/>
      <w:color w:val="404040" w:themeColor="text1" w:themeTint="BF"/>
    </w:rPr>
  </w:style>
  <w:style w:type="paragraph" w:styleId="ListParagraph">
    <w:name w:val="List Paragraph"/>
    <w:basedOn w:val="Normal"/>
    <w:uiPriority w:val="34"/>
    <w:qFormat/>
    <w:rsid w:val="0074510D"/>
    <w:pPr>
      <w:ind w:left="720"/>
      <w:contextualSpacing/>
    </w:pPr>
  </w:style>
  <w:style w:type="character" w:styleId="IntenseEmphasis">
    <w:name w:val="Intense Emphasis"/>
    <w:basedOn w:val="DefaultParagraphFont"/>
    <w:uiPriority w:val="21"/>
    <w:qFormat/>
    <w:rsid w:val="0074510D"/>
    <w:rPr>
      <w:i/>
      <w:iCs/>
      <w:color w:val="2F5496" w:themeColor="accent1" w:themeShade="BF"/>
    </w:rPr>
  </w:style>
  <w:style w:type="paragraph" w:styleId="IntenseQuote">
    <w:name w:val="Intense Quote"/>
    <w:basedOn w:val="Normal"/>
    <w:next w:val="Normal"/>
    <w:link w:val="IntenseQuoteChar"/>
    <w:uiPriority w:val="30"/>
    <w:qFormat/>
    <w:rsid w:val="00745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10D"/>
    <w:rPr>
      <w:i/>
      <w:iCs/>
      <w:color w:val="2F5496" w:themeColor="accent1" w:themeShade="BF"/>
    </w:rPr>
  </w:style>
  <w:style w:type="character" w:styleId="IntenseReference">
    <w:name w:val="Intense Reference"/>
    <w:basedOn w:val="DefaultParagraphFont"/>
    <w:uiPriority w:val="32"/>
    <w:qFormat/>
    <w:rsid w:val="0074510D"/>
    <w:rPr>
      <w:b/>
      <w:bCs/>
      <w:smallCaps/>
      <w:color w:val="2F5496" w:themeColor="accent1" w:themeShade="BF"/>
      <w:spacing w:val="5"/>
    </w:rPr>
  </w:style>
  <w:style w:type="table" w:styleId="GridTable4-Accent1">
    <w:name w:val="Grid Table 4 Accent 1"/>
    <w:basedOn w:val="TableNormal"/>
    <w:uiPriority w:val="49"/>
    <w:rsid w:val="0074510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Header">
    <w:name w:val="header"/>
    <w:basedOn w:val="Normal"/>
    <w:link w:val="HeaderChar"/>
    <w:uiPriority w:val="99"/>
    <w:unhideWhenUsed/>
    <w:rsid w:val="0074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10D"/>
  </w:style>
  <w:style w:type="paragraph" w:styleId="Footer">
    <w:name w:val="footer"/>
    <w:basedOn w:val="Normal"/>
    <w:link w:val="FooterChar"/>
    <w:uiPriority w:val="99"/>
    <w:unhideWhenUsed/>
    <w:rsid w:val="0074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C6501E2F03A84F98E16DB98B72114A" ma:contentTypeVersion="11" ma:contentTypeDescription="Create a new document." ma:contentTypeScope="" ma:versionID="d2112832677acf01d94e8d91d1059788">
  <xsd:schema xmlns:xsd="http://www.w3.org/2001/XMLSchema" xmlns:xs="http://www.w3.org/2001/XMLSchema" xmlns:p="http://schemas.microsoft.com/office/2006/metadata/properties" xmlns:ns2="2417d121-eb52-4a1b-aac4-f9042990a8cc" xmlns:ns3="6f9a5122-bb44-443e-a8dd-0c4745789b23" targetNamespace="http://schemas.microsoft.com/office/2006/metadata/properties" ma:root="true" ma:fieldsID="c0a5aa99ab712a7f83b55328f230ea49" ns2:_="" ns3:_="">
    <xsd:import namespace="2417d121-eb52-4a1b-aac4-f9042990a8cc"/>
    <xsd:import namespace="6f9a5122-bb44-443e-a8dd-0c474578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d121-eb52-4a1b-aac4-f9042990a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3b51b-b3c0-4285-a284-10998cc19b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a5122-bb44-443e-a8dd-0c4745789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8ea6b-ca76-4789-962b-e5eca908eb9c}" ma:internalName="TaxCatchAll" ma:showField="CatchAllData" ma:web="6f9a5122-bb44-443e-a8dd-0c4745789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f9a5122-bb44-443e-a8dd-0c4745789b23" xsi:nil="true"/>
    <lcf76f155ced4ddcb4097134ff3c332f xmlns="2417d121-eb52-4a1b-aac4-f9042990a8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FB190-2A63-48D3-A2CE-4CF4C94B3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d121-eb52-4a1b-aac4-f9042990a8cc"/>
    <ds:schemaRef ds:uri="6f9a5122-bb44-443e-a8dd-0c474578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39D69E-2C00-48C6-8C47-3B15EA1F7038}">
  <ds:schemaRefs>
    <ds:schemaRef ds:uri="http://schemas.microsoft.com/office/2006/metadata/properties"/>
    <ds:schemaRef ds:uri="http://schemas.microsoft.com/office/infopath/2007/PartnerControls"/>
    <ds:schemaRef ds:uri="6f9a5122-bb44-443e-a8dd-0c4745789b23"/>
    <ds:schemaRef ds:uri="2417d121-eb52-4a1b-aac4-f9042990a8cc"/>
  </ds:schemaRefs>
</ds:datastoreItem>
</file>

<file path=customXml/itemProps3.xml><?xml version="1.0" encoding="utf-8"?>
<ds:datastoreItem xmlns:ds="http://schemas.openxmlformats.org/officeDocument/2006/customXml" ds:itemID="{7E75BC18-5C89-4B13-B99D-87D4A8005A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2212</Characters>
  <Application>Microsoft Office Word</Application>
  <DocSecurity>0</DocSecurity>
  <Lines>110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Geen</dc:creator>
  <cp:keywords/>
  <dc:description/>
  <cp:lastModifiedBy>Sunil Singh</cp:lastModifiedBy>
  <cp:revision>2</cp:revision>
  <dcterms:created xsi:type="dcterms:W3CDTF">2026-09-14T09:31:00Z</dcterms:created>
  <dcterms:modified xsi:type="dcterms:W3CDTF">2026-09-14T09:31:00Z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0x010100BCC6501E2F03A84F98E16DB98B72114A</vt:lpwstr>
  </property>
  <property fmtid="{D5CDD505-2E9C-101B-9397-08002B2CF9AE}" pid="3" name="MediaServiceImageTags">
    <vt:lpwstr/>
  </property>
</Properties>
</file>