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26504394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7BE7C30C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</w:t>
      </w:r>
      <w:r w:rsidR="0080561F">
        <w:rPr>
          <w:rFonts w:ascii="Poppins" w:hAnsi="Poppins" w:cs="Poppins"/>
          <w:color w:val="044054"/>
        </w:rPr>
        <w:t>Consultancy Services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703D54B6" w:rsidR="0074510D" w:rsidRPr="00DE3887" w:rsidRDefault="00D459DA" w:rsidP="00935B71">
      <w:pPr>
        <w:pStyle w:val="Heading1"/>
        <w:ind w:left="-850"/>
        <w:rPr>
          <w:color w:val="044054"/>
        </w:rPr>
      </w:pPr>
      <w:r w:rsidRPr="00D459DA">
        <w:rPr>
          <w:color w:val="044054"/>
        </w:rPr>
        <w:t>Service Provider Comparison</w:t>
      </w:r>
      <w:r w:rsidR="00816937">
        <w:rPr>
          <w:color w:val="044054"/>
        </w:rPr>
        <w:t xml:space="preserve"> </w:t>
      </w:r>
      <w:r w:rsidR="000D3BFE">
        <w:rPr>
          <w:color w:val="044054"/>
        </w:rPr>
        <w:t xml:space="preserve">and Ranking </w:t>
      </w:r>
      <w:r w:rsidR="00D32F91">
        <w:rPr>
          <w:color w:val="044054"/>
        </w:rPr>
        <w:t>Scorecard</w:t>
      </w:r>
    </w:p>
    <w:p w14:paraId="614BD26A" w14:textId="5E9F7EBE" w:rsidR="00234562" w:rsidRDefault="001E2C1E" w:rsidP="00935B71">
      <w:pPr>
        <w:ind w:left="-851"/>
        <w:rPr>
          <w:rFonts w:ascii="Poppins" w:hAnsi="Poppins" w:cs="Poppins"/>
          <w:color w:val="044054"/>
        </w:rPr>
      </w:pPr>
      <w:r w:rsidRPr="001E2C1E">
        <w:rPr>
          <w:rFonts w:ascii="Poppins" w:hAnsi="Poppins" w:cs="Poppins"/>
          <w:color w:val="044054"/>
        </w:rPr>
        <w:t xml:space="preserve">Use </w:t>
      </w:r>
      <w:r w:rsidR="00370F6A">
        <w:rPr>
          <w:rFonts w:ascii="Poppins" w:hAnsi="Poppins" w:cs="Poppins"/>
          <w:color w:val="044054"/>
        </w:rPr>
        <w:t>this</w:t>
      </w:r>
      <w:r w:rsidRPr="001E2C1E">
        <w:rPr>
          <w:rFonts w:ascii="Poppins" w:hAnsi="Poppins" w:cs="Poppins"/>
          <w:color w:val="044054"/>
        </w:rPr>
        <w:t xml:space="preserve"> table to compare </w:t>
      </w:r>
      <w:r w:rsidR="00370F6A">
        <w:rPr>
          <w:rFonts w:ascii="Poppins" w:hAnsi="Poppins" w:cs="Poppins"/>
          <w:color w:val="044054"/>
        </w:rPr>
        <w:t>consultancies</w:t>
      </w:r>
      <w:r w:rsidRPr="001E2C1E">
        <w:rPr>
          <w:rFonts w:ascii="Poppins" w:hAnsi="Poppins" w:cs="Poppins"/>
          <w:color w:val="044054"/>
        </w:rPr>
        <w:t xml:space="preserve"> consistently. Agree the weighting before responses are reviewed, then score each provider against the same criteria</w:t>
      </w:r>
      <w:r>
        <w:rPr>
          <w:rFonts w:ascii="Poppins" w:hAnsi="Poppins" w:cs="Poppins"/>
          <w:color w:val="044054"/>
        </w:rPr>
        <w:t>.</w:t>
      </w:r>
    </w:p>
    <w:p w14:paraId="69529208" w14:textId="77777777" w:rsidR="00F2411B" w:rsidRPr="00F2411B" w:rsidRDefault="00F2411B" w:rsidP="00F2411B">
      <w:pPr>
        <w:ind w:left="-851"/>
        <w:rPr>
          <w:rFonts w:ascii="Poppins" w:hAnsi="Poppins" w:cs="Poppins"/>
          <w:b/>
          <w:bCs/>
          <w:color w:val="044054"/>
        </w:rPr>
      </w:pPr>
      <w:r w:rsidRPr="00F2411B">
        <w:rPr>
          <w:rFonts w:ascii="Poppins" w:hAnsi="Poppins" w:cs="Poppins"/>
          <w:b/>
          <w:bCs/>
          <w:color w:val="044054"/>
        </w:rPr>
        <w:t>Scoring Guidance</w:t>
      </w:r>
    </w:p>
    <w:p w14:paraId="1FB9244F" w14:textId="77777777" w:rsidR="00F2411B" w:rsidRPr="00F2411B" w:rsidRDefault="00F2411B" w:rsidP="00F2411B">
      <w:pPr>
        <w:rPr>
          <w:rFonts w:ascii="Poppins" w:hAnsi="Poppins" w:cs="Poppins"/>
          <w:b/>
          <w:bCs/>
          <w:color w:val="044054"/>
        </w:rPr>
      </w:pPr>
      <w:r w:rsidRPr="00F2411B">
        <w:rPr>
          <w:rFonts w:ascii="Poppins" w:hAnsi="Poppins" w:cs="Poppins"/>
          <w:b/>
          <w:bCs/>
          <w:color w:val="044054"/>
        </w:rPr>
        <w:t xml:space="preserve">5 = Excellent - </w:t>
      </w:r>
      <w:r w:rsidRPr="00F2411B">
        <w:rPr>
          <w:rFonts w:ascii="Poppins" w:hAnsi="Poppins" w:cs="Poppins"/>
          <w:color w:val="044054"/>
        </w:rPr>
        <w:t>Clearly exceeds requirements.</w:t>
      </w:r>
    </w:p>
    <w:p w14:paraId="1CB2B7A7" w14:textId="77777777" w:rsidR="00F2411B" w:rsidRPr="00F2411B" w:rsidRDefault="00F2411B" w:rsidP="00F2411B">
      <w:pPr>
        <w:rPr>
          <w:rFonts w:ascii="Poppins" w:hAnsi="Poppins" w:cs="Poppins"/>
          <w:b/>
          <w:bCs/>
          <w:color w:val="044054"/>
        </w:rPr>
      </w:pPr>
      <w:r w:rsidRPr="00F2411B">
        <w:rPr>
          <w:rFonts w:ascii="Poppins" w:hAnsi="Poppins" w:cs="Poppins"/>
          <w:b/>
          <w:bCs/>
          <w:color w:val="044054"/>
        </w:rPr>
        <w:t xml:space="preserve">4 = Strong - </w:t>
      </w:r>
      <w:r w:rsidRPr="00F2411B">
        <w:rPr>
          <w:rFonts w:ascii="Poppins" w:hAnsi="Poppins" w:cs="Poppins"/>
          <w:color w:val="044054"/>
        </w:rPr>
        <w:t>Meets requirements with minor concerns.</w:t>
      </w:r>
    </w:p>
    <w:p w14:paraId="0F3C4A0D" w14:textId="77777777" w:rsidR="00F2411B" w:rsidRPr="00F2411B" w:rsidRDefault="00F2411B" w:rsidP="00F2411B">
      <w:pPr>
        <w:rPr>
          <w:rFonts w:ascii="Poppins" w:hAnsi="Poppins" w:cs="Poppins"/>
          <w:b/>
          <w:bCs/>
          <w:color w:val="044054"/>
        </w:rPr>
      </w:pPr>
      <w:r w:rsidRPr="00F2411B">
        <w:rPr>
          <w:rFonts w:ascii="Poppins" w:hAnsi="Poppins" w:cs="Poppins"/>
          <w:b/>
          <w:bCs/>
          <w:color w:val="044054"/>
        </w:rPr>
        <w:t xml:space="preserve">3 = Acceptable - </w:t>
      </w:r>
      <w:r w:rsidRPr="00F2411B">
        <w:rPr>
          <w:rFonts w:ascii="Poppins" w:hAnsi="Poppins" w:cs="Poppins"/>
          <w:color w:val="044054"/>
        </w:rPr>
        <w:t>Adequately addresses requirements.</w:t>
      </w:r>
    </w:p>
    <w:p w14:paraId="16F19A09" w14:textId="77777777" w:rsidR="00F2411B" w:rsidRPr="00F2411B" w:rsidRDefault="00F2411B" w:rsidP="00F2411B">
      <w:pPr>
        <w:rPr>
          <w:rFonts w:ascii="Poppins" w:hAnsi="Poppins" w:cs="Poppins"/>
          <w:b/>
          <w:bCs/>
          <w:color w:val="044054"/>
        </w:rPr>
      </w:pPr>
      <w:r w:rsidRPr="00F2411B">
        <w:rPr>
          <w:rFonts w:ascii="Poppins" w:hAnsi="Poppins" w:cs="Poppins"/>
          <w:b/>
          <w:bCs/>
          <w:color w:val="044054"/>
        </w:rPr>
        <w:t xml:space="preserve">2 = Weak - </w:t>
      </w:r>
      <w:r w:rsidRPr="00F2411B">
        <w:rPr>
          <w:rFonts w:ascii="Poppins" w:hAnsi="Poppins" w:cs="Poppins"/>
          <w:color w:val="044054"/>
        </w:rPr>
        <w:t>Several concerns identified.</w:t>
      </w:r>
    </w:p>
    <w:p w14:paraId="66C7C2C6" w14:textId="6B33CEC5" w:rsidR="00F2411B" w:rsidRDefault="00F2411B" w:rsidP="00F2411B">
      <w:pPr>
        <w:rPr>
          <w:rFonts w:ascii="Poppins" w:hAnsi="Poppins" w:cs="Poppins"/>
          <w:b/>
          <w:bCs/>
          <w:color w:val="044054"/>
        </w:rPr>
      </w:pPr>
      <w:r w:rsidRPr="00F2411B">
        <w:rPr>
          <w:rFonts w:ascii="Poppins" w:hAnsi="Poppins" w:cs="Poppins"/>
          <w:b/>
          <w:bCs/>
          <w:color w:val="044054"/>
        </w:rPr>
        <w:t xml:space="preserve">1 = Poor - </w:t>
      </w:r>
      <w:r w:rsidRPr="00F2411B">
        <w:rPr>
          <w:rFonts w:ascii="Poppins" w:hAnsi="Poppins" w:cs="Poppins"/>
          <w:color w:val="044054"/>
        </w:rPr>
        <w:t>Major concerns identified.</w:t>
      </w:r>
    </w:p>
    <w:p w14:paraId="1F35DA38" w14:textId="7115A780" w:rsidR="003B2F55" w:rsidRPr="003B2F55" w:rsidRDefault="003B2F55" w:rsidP="003B2F55">
      <w:pPr>
        <w:ind w:left="-851"/>
        <w:rPr>
          <w:rFonts w:ascii="Poppins" w:hAnsi="Poppins" w:cs="Poppins"/>
          <w:color w:val="044054"/>
        </w:rPr>
      </w:pPr>
      <w:r w:rsidRPr="003B2F55">
        <w:rPr>
          <w:rFonts w:ascii="Poppins" w:hAnsi="Poppins" w:cs="Poppins"/>
          <w:b/>
          <w:bCs/>
          <w:color w:val="044054"/>
        </w:rPr>
        <w:t>Weighting guidance</w:t>
      </w:r>
      <w:r w:rsidRPr="003B2F55">
        <w:rPr>
          <w:rFonts w:ascii="Poppins" w:hAnsi="Poppins" w:cs="Poppins"/>
          <w:color w:val="044054"/>
        </w:rPr>
        <w:t> </w:t>
      </w:r>
    </w:p>
    <w:p w14:paraId="272CE858" w14:textId="5EC4EDE8" w:rsidR="0069326C" w:rsidRDefault="003B2F55" w:rsidP="00F2411B">
      <w:pPr>
        <w:ind w:left="-851"/>
        <w:rPr>
          <w:rFonts w:ascii="Poppins" w:hAnsi="Poppins" w:cs="Poppins"/>
          <w:color w:val="044054"/>
        </w:rPr>
      </w:pPr>
      <w:r w:rsidRPr="003B2F55">
        <w:rPr>
          <w:rFonts w:ascii="Poppins" w:hAnsi="Poppins" w:cs="Poppins"/>
          <w:color w:val="044054"/>
        </w:rPr>
        <w:t>Set weightings before reviewing responses. Use a simple 1–5 weighting scale where 1 = low importance, 3 = important and 5 = critical. Score each provider separately using the same scale, then multiply weight by score to support a balanced comparison. </w:t>
      </w:r>
    </w:p>
    <w:p w14:paraId="48298B65" w14:textId="134F755C" w:rsidR="0069326C" w:rsidRDefault="009C1895" w:rsidP="00935B71">
      <w:pPr>
        <w:ind w:left="-851"/>
        <w:rPr>
          <w:rFonts w:ascii="Poppins" w:hAnsi="Poppins" w:cs="Poppins"/>
          <w:color w:val="044054"/>
        </w:rPr>
      </w:pPr>
      <w:r w:rsidRPr="009C1895">
        <w:rPr>
          <w:rFonts w:ascii="Poppins" w:hAnsi="Poppins" w:cs="Poppins"/>
          <w:color w:val="044054"/>
        </w:rPr>
        <w:t>If a criterion is a true must-have, treat failure against it as a stop/go issue rather than a low score. Weightings should reflect the project milestone, not a generic view of what matters.</w:t>
      </w:r>
    </w:p>
    <w:p w14:paraId="6EEE8695" w14:textId="77777777" w:rsidR="00FC5870" w:rsidRDefault="00FC5870">
      <w:pPr>
        <w:rPr>
          <w:rFonts w:ascii="Poppins" w:hAnsi="Poppins" w:cs="Poppins"/>
          <w:b/>
          <w:bCs/>
          <w:color w:val="044054"/>
        </w:rPr>
      </w:pPr>
      <w:r>
        <w:rPr>
          <w:rFonts w:ascii="Poppins" w:hAnsi="Poppins" w:cs="Poppins"/>
          <w:b/>
          <w:bCs/>
          <w:color w:val="044054"/>
        </w:rPr>
        <w:br w:type="page"/>
      </w:r>
    </w:p>
    <w:p w14:paraId="508E22D3" w14:textId="341A45A4" w:rsidR="00FC5870" w:rsidRPr="00FC5870" w:rsidRDefault="00FC5870" w:rsidP="00FC5870">
      <w:pPr>
        <w:ind w:left="-851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b/>
          <w:bCs/>
          <w:color w:val="044054"/>
        </w:rPr>
        <w:lastRenderedPageBreak/>
        <w:t>Key Reminder</w:t>
      </w:r>
    </w:p>
    <w:p w14:paraId="77DAEBF7" w14:textId="77777777" w:rsidR="00FC5870" w:rsidRPr="00FC5870" w:rsidRDefault="00FC5870" w:rsidP="00FC5870">
      <w:pPr>
        <w:ind w:left="-851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A common mistake is scoring the written response rather than the consultancy. A strong RFI response or statement of work is important, but you are selecting the people and organisation that will ultimately influence your programme's success.</w:t>
      </w:r>
    </w:p>
    <w:p w14:paraId="249B517A" w14:textId="77777777" w:rsidR="00FC5870" w:rsidRPr="00FC5870" w:rsidRDefault="00FC5870" w:rsidP="00FC5870">
      <w:pPr>
        <w:ind w:left="-851"/>
        <w:rPr>
          <w:rFonts w:ascii="Poppins" w:hAnsi="Poppins" w:cs="Poppins"/>
          <w:b/>
          <w:bCs/>
          <w:color w:val="044054"/>
        </w:rPr>
      </w:pPr>
      <w:r w:rsidRPr="00FC5870">
        <w:rPr>
          <w:rFonts w:ascii="Poppins" w:hAnsi="Poppins" w:cs="Poppins"/>
          <w:b/>
          <w:bCs/>
          <w:color w:val="044054"/>
        </w:rPr>
        <w:t xml:space="preserve">Evaluation criteria </w:t>
      </w:r>
    </w:p>
    <w:p w14:paraId="75917AA0" w14:textId="77777777" w:rsidR="00FC5870" w:rsidRPr="00FC5870" w:rsidRDefault="00FC5870" w:rsidP="00EA2948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Expertise</w:t>
      </w:r>
    </w:p>
    <w:p w14:paraId="691A4D00" w14:textId="77777777" w:rsidR="00FC5870" w:rsidRPr="00FC5870" w:rsidRDefault="00FC5870" w:rsidP="00EA2948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Start-up experience</w:t>
      </w:r>
    </w:p>
    <w:p w14:paraId="3108E306" w14:textId="77777777" w:rsidR="00FC5870" w:rsidRPr="00FC5870" w:rsidRDefault="00FC5870" w:rsidP="00EA2948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Team capability</w:t>
      </w:r>
    </w:p>
    <w:p w14:paraId="3CFA37D8" w14:textId="77777777" w:rsidR="00FC5870" w:rsidRPr="00FC5870" w:rsidRDefault="00FC5870" w:rsidP="00EA2948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Strategic insight</w:t>
      </w:r>
    </w:p>
    <w:p w14:paraId="663D2B10" w14:textId="77777777" w:rsidR="00FC5870" w:rsidRPr="00FC5870" w:rsidRDefault="00FC5870" w:rsidP="00EA2948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Communication</w:t>
      </w:r>
    </w:p>
    <w:p w14:paraId="53A9FD99" w14:textId="77777777" w:rsidR="00FC5870" w:rsidRPr="00FC5870" w:rsidRDefault="00FC5870" w:rsidP="00EA2948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Risk management</w:t>
      </w:r>
    </w:p>
    <w:p w14:paraId="3B72A8EE" w14:textId="77777777" w:rsidR="00FC5870" w:rsidRPr="00FC5870" w:rsidRDefault="00FC5870" w:rsidP="00EA2948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Commercial fit</w:t>
      </w:r>
    </w:p>
    <w:p w14:paraId="38C77DD7" w14:textId="77777777" w:rsidR="00FC5870" w:rsidRPr="00FC5870" w:rsidRDefault="00FC5870" w:rsidP="00EA2948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oppins" w:hAnsi="Poppins" w:cs="Poppins"/>
          <w:color w:val="044054"/>
        </w:rPr>
      </w:pPr>
      <w:r w:rsidRPr="00FC5870">
        <w:rPr>
          <w:rFonts w:ascii="Poppins" w:hAnsi="Poppins" w:cs="Poppins"/>
          <w:color w:val="044054"/>
        </w:rPr>
        <w:t>Long-term support</w:t>
      </w:r>
    </w:p>
    <w:p w14:paraId="31327843" w14:textId="77777777" w:rsidR="00FC5870" w:rsidRDefault="00FC5870" w:rsidP="00935B71">
      <w:pPr>
        <w:ind w:left="-851"/>
        <w:rPr>
          <w:rFonts w:ascii="Poppins" w:hAnsi="Poppins" w:cs="Poppins"/>
          <w:color w:val="044054"/>
        </w:rPr>
      </w:pPr>
    </w:p>
    <w:p w14:paraId="28990AD8" w14:textId="77777777" w:rsidR="00D32F91" w:rsidRDefault="00D32F91">
      <w:pPr>
        <w:rPr>
          <w:rFonts w:ascii="Poppins" w:hAnsi="Poppins" w:cs="Poppins"/>
          <w:b/>
          <w:bCs/>
          <w:color w:val="044054"/>
        </w:rPr>
      </w:pPr>
      <w:r>
        <w:rPr>
          <w:rFonts w:ascii="Poppins" w:hAnsi="Poppins" w:cs="Poppins"/>
          <w:b/>
          <w:bCs/>
          <w:color w:val="044054"/>
        </w:rPr>
        <w:br w:type="page"/>
      </w:r>
    </w:p>
    <w:p w14:paraId="79C909EB" w14:textId="720210C8" w:rsidR="007D5F1A" w:rsidRPr="00DE3887" w:rsidRDefault="00591EB4" w:rsidP="00591EB4">
      <w:pPr>
        <w:ind w:left="-851"/>
        <w:rPr>
          <w:rFonts w:ascii="Poppins" w:hAnsi="Poppins" w:cs="Poppins"/>
          <w:color w:val="044054"/>
        </w:rPr>
      </w:pPr>
      <w:r w:rsidRPr="00591EB4">
        <w:rPr>
          <w:rFonts w:ascii="Poppins" w:hAnsi="Poppins" w:cs="Poppins"/>
          <w:b/>
          <w:bCs/>
          <w:color w:val="044054"/>
        </w:rPr>
        <w:lastRenderedPageBreak/>
        <w:t xml:space="preserve">RFI comparison and ranking </w:t>
      </w:r>
      <w:r w:rsidR="00D32F91">
        <w:rPr>
          <w:rFonts w:ascii="Poppins" w:hAnsi="Poppins" w:cs="Poppins"/>
          <w:b/>
          <w:bCs/>
          <w:color w:val="044054"/>
        </w:rPr>
        <w:t>scorecard</w:t>
      </w:r>
      <w:r w:rsidRPr="00591EB4">
        <w:rPr>
          <w:rFonts w:ascii="Poppins" w:hAnsi="Poppins" w:cs="Poppins"/>
          <w:color w:val="044054"/>
        </w:rPr>
        <w:t> </w:t>
      </w:r>
    </w:p>
    <w:tbl>
      <w:tblPr>
        <w:tblStyle w:val="GridTable4-Accent1"/>
        <w:tblW w:w="15902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51"/>
        <w:gridCol w:w="6258"/>
        <w:gridCol w:w="1134"/>
        <w:gridCol w:w="1134"/>
        <w:gridCol w:w="5125"/>
      </w:tblGrid>
      <w:tr w:rsidR="00B43338" w:rsidRPr="00DE3887" w14:paraId="7A4AA2D1" w14:textId="77777777" w:rsidTr="00374394">
        <w:tc>
          <w:tcPr>
            <w:tcW w:w="2251" w:type="dxa"/>
            <w:vAlign w:val="center"/>
            <w:hideMark/>
          </w:tcPr>
          <w:p w14:paraId="0B0CCA37" w14:textId="362A8E1A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>
              <w:rPr>
                <w:rFonts w:ascii="Poppins Medium" w:hAnsi="Poppins Medium" w:cs="Poppins Medium"/>
                <w:color w:val="044054"/>
              </w:rPr>
              <w:t>Criteria</w:t>
            </w:r>
          </w:p>
        </w:tc>
        <w:tc>
          <w:tcPr>
            <w:tcW w:w="6258" w:type="dxa"/>
            <w:vAlign w:val="center"/>
            <w:hideMark/>
          </w:tcPr>
          <w:p w14:paraId="04B646DF" w14:textId="5EC81052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What to compare</w:t>
            </w:r>
          </w:p>
        </w:tc>
        <w:tc>
          <w:tcPr>
            <w:tcW w:w="1134" w:type="dxa"/>
            <w:vAlign w:val="center"/>
            <w:hideMark/>
          </w:tcPr>
          <w:p w14:paraId="5FC996E7" w14:textId="5644CCFB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Weight</w:t>
            </w:r>
          </w:p>
        </w:tc>
        <w:tc>
          <w:tcPr>
            <w:tcW w:w="1134" w:type="dxa"/>
          </w:tcPr>
          <w:p w14:paraId="3F658570" w14:textId="09845BEF" w:rsidR="00B43338" w:rsidRDefault="00B43338">
            <w:pPr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Score</w:t>
            </w:r>
          </w:p>
        </w:tc>
        <w:tc>
          <w:tcPr>
            <w:tcW w:w="5125" w:type="dxa"/>
            <w:vAlign w:val="center"/>
            <w:hideMark/>
          </w:tcPr>
          <w:p w14:paraId="53AEF71B" w14:textId="3E93991B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Evidence</w:t>
            </w:r>
            <w:r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7A777A" w:rsidRPr="00DE3887" w14:paraId="70227B2C" w14:textId="77777777" w:rsidTr="00374394">
        <w:tc>
          <w:tcPr>
            <w:tcW w:w="2251" w:type="dxa"/>
            <w:vAlign w:val="center"/>
          </w:tcPr>
          <w:p w14:paraId="1C552E3B" w14:textId="26FA4F8C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Relevant Expertise</w:t>
            </w:r>
          </w:p>
        </w:tc>
        <w:tc>
          <w:tcPr>
            <w:tcW w:w="6258" w:type="dxa"/>
            <w:vAlign w:val="center"/>
          </w:tcPr>
          <w:p w14:paraId="0ADB3C1E" w14:textId="3D662CCB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Consultancy’s direct experience with similar products, development stages, regulatory pathways and technical challenges relevant to the project.</w:t>
            </w:r>
          </w:p>
        </w:tc>
        <w:tc>
          <w:tcPr>
            <w:tcW w:w="1134" w:type="dxa"/>
            <w:vAlign w:val="center"/>
          </w:tcPr>
          <w:p w14:paraId="179E0499" w14:textId="7BB8F41D" w:rsidR="007A777A" w:rsidRPr="00DE3887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BF5F5C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4230FD1" w14:textId="14B96E0B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630D75FD" w14:textId="77777777" w:rsidTr="00374394">
        <w:tc>
          <w:tcPr>
            <w:tcW w:w="2251" w:type="dxa"/>
            <w:vAlign w:val="center"/>
          </w:tcPr>
          <w:p w14:paraId="75DC344D" w14:textId="5AB48CDB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Start-Up Experience</w:t>
            </w:r>
          </w:p>
        </w:tc>
        <w:tc>
          <w:tcPr>
            <w:tcW w:w="6258" w:type="dxa"/>
            <w:vAlign w:val="center"/>
          </w:tcPr>
          <w:p w14:paraId="1BCF6EC7" w14:textId="3CDC3B91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Evidence of successful delivery on projects of comparable scope, complexity, development stage, therapeutic area or consultancy requirement.</w:t>
            </w:r>
          </w:p>
        </w:tc>
        <w:tc>
          <w:tcPr>
            <w:tcW w:w="1134" w:type="dxa"/>
            <w:vAlign w:val="center"/>
          </w:tcPr>
          <w:p w14:paraId="7FD9850E" w14:textId="5066A1DD" w:rsidR="007A777A" w:rsidRPr="00DE3887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5039B5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56D27633" w14:textId="7FEDBBF2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3F10E208" w14:textId="77777777" w:rsidTr="00374394">
        <w:tc>
          <w:tcPr>
            <w:tcW w:w="2251" w:type="dxa"/>
            <w:vAlign w:val="center"/>
          </w:tcPr>
          <w:p w14:paraId="16746798" w14:textId="7DF3B2B1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Similar Project Experience</w:t>
            </w:r>
          </w:p>
        </w:tc>
        <w:tc>
          <w:tcPr>
            <w:tcW w:w="6258" w:type="dxa"/>
            <w:vAlign w:val="center"/>
          </w:tcPr>
          <w:p w14:paraId="0AB6EF4A" w14:textId="71716A02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Experience, qualifications and seniority of the individuals who will deliver the work, including leadership involvement, subject matter expertise and use of subcontractors.</w:t>
            </w:r>
          </w:p>
        </w:tc>
        <w:tc>
          <w:tcPr>
            <w:tcW w:w="1134" w:type="dxa"/>
            <w:vAlign w:val="center"/>
          </w:tcPr>
          <w:p w14:paraId="27069EC9" w14:textId="6ECEF58E" w:rsidR="007A777A" w:rsidRPr="00DE3887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B574DD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440641A3" w14:textId="6FE9A6EB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14344F7F" w14:textId="77777777" w:rsidTr="00374394">
        <w:tc>
          <w:tcPr>
            <w:tcW w:w="2251" w:type="dxa"/>
            <w:vAlign w:val="center"/>
          </w:tcPr>
          <w:p w14:paraId="05BC2241" w14:textId="477C6198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Team Quality</w:t>
            </w:r>
          </w:p>
        </w:tc>
        <w:tc>
          <w:tcPr>
            <w:tcW w:w="6258" w:type="dxa"/>
            <w:vAlign w:val="center"/>
          </w:tcPr>
          <w:p w14:paraId="1D7AC6D2" w14:textId="168A3BD6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Experience, qualifications and seniority of the individuals who will deliver the work, including leadership involvement, subject matter expertise and use of subcontractors.</w:t>
            </w:r>
          </w:p>
        </w:tc>
        <w:tc>
          <w:tcPr>
            <w:tcW w:w="1134" w:type="dxa"/>
            <w:vAlign w:val="center"/>
          </w:tcPr>
          <w:p w14:paraId="0A2A2A67" w14:textId="6CFE5D04" w:rsidR="007A777A" w:rsidRPr="00DE3887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4F4F50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EA9692B" w14:textId="7BC5B21F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0AEFBB6B" w14:textId="77777777" w:rsidTr="00374394">
        <w:tc>
          <w:tcPr>
            <w:tcW w:w="2251" w:type="dxa"/>
            <w:vAlign w:val="center"/>
          </w:tcPr>
          <w:p w14:paraId="35DA6971" w14:textId="668864AD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Strategic Insight</w:t>
            </w:r>
          </w:p>
        </w:tc>
        <w:tc>
          <w:tcPr>
            <w:tcW w:w="6258" w:type="dxa"/>
            <w:vAlign w:val="center"/>
          </w:tcPr>
          <w:p w14:paraId="170BF7A2" w14:textId="0A0FB227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Consultancy's ability to identify risks, challenge assumptions, propose practical alternatives and provide guidance beyond the immediate project scope.</w:t>
            </w:r>
          </w:p>
        </w:tc>
        <w:tc>
          <w:tcPr>
            <w:tcW w:w="1134" w:type="dxa"/>
            <w:vAlign w:val="center"/>
          </w:tcPr>
          <w:p w14:paraId="4127C4B0" w14:textId="38DC741F" w:rsidR="007A777A" w:rsidRPr="00DE3887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77B151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DB16EAD" w14:textId="5A918A68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2CB47289" w14:textId="77777777" w:rsidTr="00374394">
        <w:tc>
          <w:tcPr>
            <w:tcW w:w="2251" w:type="dxa"/>
            <w:vAlign w:val="center"/>
          </w:tcPr>
          <w:p w14:paraId="29F59FCF" w14:textId="7F0C8C68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Communication Approach</w:t>
            </w:r>
          </w:p>
        </w:tc>
        <w:tc>
          <w:tcPr>
            <w:tcW w:w="6258" w:type="dxa"/>
            <w:vAlign w:val="center"/>
          </w:tcPr>
          <w:p w14:paraId="4F009AEB" w14:textId="2C4A3250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Responsiveness, clarity of communication, ability to explain complex issues, engagement during discussions and overall quality of stakeholder interaction.</w:t>
            </w:r>
          </w:p>
        </w:tc>
        <w:tc>
          <w:tcPr>
            <w:tcW w:w="1134" w:type="dxa"/>
            <w:vAlign w:val="center"/>
          </w:tcPr>
          <w:p w14:paraId="65441797" w14:textId="70B1702D" w:rsidR="007A777A" w:rsidRPr="00DE3887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AD07AA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049DD1E" w14:textId="3B6CD17A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2065FCDA" w14:textId="77777777" w:rsidTr="00374394">
        <w:tc>
          <w:tcPr>
            <w:tcW w:w="2251" w:type="dxa"/>
            <w:vAlign w:val="center"/>
          </w:tcPr>
          <w:p w14:paraId="219AB2D0" w14:textId="7CD9DE75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Flexibility</w:t>
            </w:r>
          </w:p>
        </w:tc>
        <w:tc>
          <w:tcPr>
            <w:tcW w:w="6258" w:type="dxa"/>
            <w:vAlign w:val="center"/>
          </w:tcPr>
          <w:p w14:paraId="46CA8A89" w14:textId="015BB0CC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Consultancy's willingness and ability to adapt scope, priorities, resource levels and working practices as programme needs evolve.</w:t>
            </w:r>
          </w:p>
        </w:tc>
        <w:tc>
          <w:tcPr>
            <w:tcW w:w="1134" w:type="dxa"/>
            <w:vAlign w:val="center"/>
          </w:tcPr>
          <w:p w14:paraId="633193B7" w14:textId="58B09843" w:rsidR="007A777A" w:rsidRPr="00DE3887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8318BC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FFCCD89" w14:textId="66623B20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18CA379E" w14:textId="77777777" w:rsidTr="00374394">
        <w:tc>
          <w:tcPr>
            <w:tcW w:w="2251" w:type="dxa"/>
            <w:vAlign w:val="center"/>
          </w:tcPr>
          <w:p w14:paraId="03A2093F" w14:textId="791D609E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Resource Availability</w:t>
            </w:r>
          </w:p>
        </w:tc>
        <w:tc>
          <w:tcPr>
            <w:tcW w:w="6258" w:type="dxa"/>
            <w:vAlign w:val="center"/>
          </w:tcPr>
          <w:p w14:paraId="7A496563" w14:textId="5051A77C" w:rsidR="007A777A" w:rsidRPr="007A777A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Availability, capacity and timing of the proposed team, including ability to meet key milestones and provide support when required.</w:t>
            </w:r>
          </w:p>
        </w:tc>
        <w:tc>
          <w:tcPr>
            <w:tcW w:w="1134" w:type="dxa"/>
            <w:vAlign w:val="center"/>
          </w:tcPr>
          <w:p w14:paraId="6CC38D4F" w14:textId="4A5AEB0A" w:rsidR="007A777A" w:rsidRPr="00DE3887" w:rsidRDefault="007A777A" w:rsidP="007A777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9989F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51103C4" w14:textId="53CC75A2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26D19FDA" w14:textId="77777777" w:rsidTr="00374394">
        <w:tc>
          <w:tcPr>
            <w:tcW w:w="2251" w:type="dxa"/>
            <w:vAlign w:val="center"/>
          </w:tcPr>
          <w:p w14:paraId="22E21870" w14:textId="14124B96" w:rsidR="007A777A" w:rsidRPr="007A777A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Project Management</w:t>
            </w:r>
          </w:p>
        </w:tc>
        <w:tc>
          <w:tcPr>
            <w:tcW w:w="6258" w:type="dxa"/>
            <w:vAlign w:val="center"/>
          </w:tcPr>
          <w:p w14:paraId="56D03FC7" w14:textId="671B8682" w:rsidR="007A777A" w:rsidRPr="007A777A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Proposed governance structure, planning approach, reporting processes, decision-making support, issue management and overall delivery framework.</w:t>
            </w:r>
          </w:p>
        </w:tc>
        <w:tc>
          <w:tcPr>
            <w:tcW w:w="1134" w:type="dxa"/>
            <w:vAlign w:val="center"/>
          </w:tcPr>
          <w:p w14:paraId="0E2B8CE3" w14:textId="53BD3D09" w:rsidR="007A777A" w:rsidRPr="00147D02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99D28E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7C8A0E7" w14:textId="5B40C386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388CA274" w14:textId="77777777" w:rsidTr="00374394">
        <w:tc>
          <w:tcPr>
            <w:tcW w:w="2251" w:type="dxa"/>
            <w:vAlign w:val="center"/>
          </w:tcPr>
          <w:p w14:paraId="34FA6235" w14:textId="044F6555" w:rsidR="007A777A" w:rsidRPr="007A777A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Risk Awareness</w:t>
            </w:r>
          </w:p>
        </w:tc>
        <w:tc>
          <w:tcPr>
            <w:tcW w:w="6258" w:type="dxa"/>
            <w:vAlign w:val="center"/>
          </w:tcPr>
          <w:p w14:paraId="04966A0B" w14:textId="156F2B44" w:rsidR="007A777A" w:rsidRPr="007A777A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How effectively the consultancy identifies, assesses and mitigates technical, regulatory, operational and commercial risks relevant to the project.</w:t>
            </w:r>
          </w:p>
        </w:tc>
        <w:tc>
          <w:tcPr>
            <w:tcW w:w="1134" w:type="dxa"/>
            <w:vAlign w:val="center"/>
          </w:tcPr>
          <w:p w14:paraId="196ED2DC" w14:textId="5BA07BBF" w:rsidR="007A777A" w:rsidRPr="00147D02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C9757D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4B9BF180" w14:textId="17FB827B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0B20AAD1" w14:textId="77777777" w:rsidTr="00374394">
        <w:tc>
          <w:tcPr>
            <w:tcW w:w="2251" w:type="dxa"/>
            <w:vAlign w:val="center"/>
          </w:tcPr>
          <w:p w14:paraId="1E45FA30" w14:textId="64DB9ADB" w:rsidR="007A777A" w:rsidRPr="007A777A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Commercial Value</w:t>
            </w:r>
          </w:p>
        </w:tc>
        <w:tc>
          <w:tcPr>
            <w:tcW w:w="6258" w:type="dxa"/>
            <w:vAlign w:val="center"/>
          </w:tcPr>
          <w:p w14:paraId="7D9BD52E" w14:textId="57D0A484" w:rsidR="007A777A" w:rsidRPr="007A777A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Overall value for money, </w:t>
            </w:r>
            <w:proofErr w:type="gramStart"/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taking into account</w:t>
            </w:r>
            <w:proofErr w:type="gramEnd"/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pricing transparency, scope included, assumptions, potential additional costs and expected outcomes.</w:t>
            </w:r>
          </w:p>
        </w:tc>
        <w:tc>
          <w:tcPr>
            <w:tcW w:w="1134" w:type="dxa"/>
            <w:vAlign w:val="center"/>
          </w:tcPr>
          <w:p w14:paraId="5E4E4C6E" w14:textId="77777777" w:rsidR="007A777A" w:rsidRPr="00147D02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D7086D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606B3016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A777A" w:rsidRPr="00DE3887" w14:paraId="25528ADD" w14:textId="77777777" w:rsidTr="00374394">
        <w:tc>
          <w:tcPr>
            <w:tcW w:w="2251" w:type="dxa"/>
            <w:vAlign w:val="center"/>
          </w:tcPr>
          <w:p w14:paraId="7166357F" w14:textId="7A443770" w:rsidR="007A777A" w:rsidRPr="007A777A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Cultural Fit</w:t>
            </w:r>
          </w:p>
        </w:tc>
        <w:tc>
          <w:tcPr>
            <w:tcW w:w="6258" w:type="dxa"/>
            <w:vAlign w:val="center"/>
          </w:tcPr>
          <w:p w14:paraId="791F2CB7" w14:textId="260FBB93" w:rsidR="007A777A" w:rsidRPr="007A777A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A777A">
              <w:rPr>
                <w:rFonts w:ascii="Poppins" w:hAnsi="Poppins" w:cs="Poppins"/>
                <w:color w:val="044054"/>
                <w:sz w:val="20"/>
                <w:szCs w:val="20"/>
              </w:rPr>
              <w:t>Alignment of working style, behaviours, collaboration approach and ability to operate as a trusted extension of the internal team.</w:t>
            </w:r>
          </w:p>
        </w:tc>
        <w:tc>
          <w:tcPr>
            <w:tcW w:w="1134" w:type="dxa"/>
            <w:vAlign w:val="center"/>
          </w:tcPr>
          <w:p w14:paraId="3C0351C1" w14:textId="77777777" w:rsidR="007A777A" w:rsidRPr="00147D02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643AE5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2E343E9B" w14:textId="77777777" w:rsidR="007A777A" w:rsidRPr="00DE3887" w:rsidRDefault="007A777A" w:rsidP="007A777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85FDC84" w14:textId="35F88CF7" w:rsidR="00A04329" w:rsidRDefault="00A04329">
      <w:pPr>
        <w:rPr>
          <w:rFonts w:ascii="Poppins" w:hAnsi="Poppins" w:cs="Poppins"/>
          <w:b/>
          <w:bCs/>
          <w:color w:val="044054"/>
        </w:rPr>
      </w:pPr>
    </w:p>
    <w:sectPr w:rsidR="00A04329" w:rsidSect="00935B71">
      <w:headerReference w:type="default" r:id="rId11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5691FC" w14:textId="77777777" w:rsidR="00134F14" w:rsidRDefault="00134F14" w:rsidP="0074510D">
      <w:pPr>
        <w:spacing w:after="0" w:line="240" w:lineRule="auto"/>
      </w:pPr>
      <w:r>
        <w:separator/>
      </w:r>
    </w:p>
  </w:endnote>
  <w:endnote w:type="continuationSeparator" w:id="0">
    <w:p w14:paraId="4539B305" w14:textId="77777777" w:rsidR="00134F14" w:rsidRDefault="00134F14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CF9A10" w14:textId="77777777" w:rsidR="00134F14" w:rsidRDefault="00134F14" w:rsidP="0074510D">
      <w:pPr>
        <w:spacing w:after="0" w:line="240" w:lineRule="auto"/>
      </w:pPr>
      <w:r>
        <w:separator/>
      </w:r>
    </w:p>
  </w:footnote>
  <w:footnote w:type="continuationSeparator" w:id="0">
    <w:p w14:paraId="61D80D06" w14:textId="77777777" w:rsidR="00134F14" w:rsidRDefault="00134F14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AFA7E" w14:textId="1981C553" w:rsidR="0074510D" w:rsidRDefault="005E149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27BCA96" wp14:editId="18D7F4C9">
          <wp:simplePos x="0" y="0"/>
          <wp:positionH relativeFrom="margin">
            <wp:posOffset>-534154</wp:posOffset>
          </wp:positionH>
          <wp:positionV relativeFrom="margin">
            <wp:posOffset>-283185</wp:posOffset>
          </wp:positionV>
          <wp:extent cx="10067453" cy="6553835"/>
          <wp:effectExtent l="0" t="0" r="3810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670" cy="6589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2E11E0"/>
    <w:multiLevelType w:val="multilevel"/>
    <w:tmpl w:val="F310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09628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05033D"/>
    <w:rsid w:val="00065E40"/>
    <w:rsid w:val="000C2DD8"/>
    <w:rsid w:val="000D3BFE"/>
    <w:rsid w:val="00134F14"/>
    <w:rsid w:val="00147D02"/>
    <w:rsid w:val="001746A4"/>
    <w:rsid w:val="00197565"/>
    <w:rsid w:val="001C2E35"/>
    <w:rsid w:val="001D718F"/>
    <w:rsid w:val="001E2C1E"/>
    <w:rsid w:val="001F54A6"/>
    <w:rsid w:val="00234562"/>
    <w:rsid w:val="002413D3"/>
    <w:rsid w:val="00244436"/>
    <w:rsid w:val="002679B5"/>
    <w:rsid w:val="002807C7"/>
    <w:rsid w:val="00287E4A"/>
    <w:rsid w:val="002A6457"/>
    <w:rsid w:val="002B46B4"/>
    <w:rsid w:val="00355D66"/>
    <w:rsid w:val="00370F6A"/>
    <w:rsid w:val="00374394"/>
    <w:rsid w:val="00393A60"/>
    <w:rsid w:val="003B2834"/>
    <w:rsid w:val="003B2F55"/>
    <w:rsid w:val="003C614C"/>
    <w:rsid w:val="003F2419"/>
    <w:rsid w:val="00411998"/>
    <w:rsid w:val="0045251F"/>
    <w:rsid w:val="00476A56"/>
    <w:rsid w:val="00480A1C"/>
    <w:rsid w:val="00485DFE"/>
    <w:rsid w:val="00486ED0"/>
    <w:rsid w:val="00500A6F"/>
    <w:rsid w:val="00515180"/>
    <w:rsid w:val="00557CF6"/>
    <w:rsid w:val="00561AD2"/>
    <w:rsid w:val="00591EB4"/>
    <w:rsid w:val="005E149C"/>
    <w:rsid w:val="005F1873"/>
    <w:rsid w:val="005F4E15"/>
    <w:rsid w:val="006216D8"/>
    <w:rsid w:val="0062798B"/>
    <w:rsid w:val="0065741F"/>
    <w:rsid w:val="0069326C"/>
    <w:rsid w:val="006E4B74"/>
    <w:rsid w:val="0070168E"/>
    <w:rsid w:val="0074510D"/>
    <w:rsid w:val="0078774C"/>
    <w:rsid w:val="007A777A"/>
    <w:rsid w:val="007D0700"/>
    <w:rsid w:val="007D5F1A"/>
    <w:rsid w:val="007F1A9F"/>
    <w:rsid w:val="0080561F"/>
    <w:rsid w:val="00816937"/>
    <w:rsid w:val="00896B88"/>
    <w:rsid w:val="008D684B"/>
    <w:rsid w:val="008E1BD1"/>
    <w:rsid w:val="00935605"/>
    <w:rsid w:val="00935B71"/>
    <w:rsid w:val="00981F60"/>
    <w:rsid w:val="009B2E0F"/>
    <w:rsid w:val="009B6A4D"/>
    <w:rsid w:val="009C1895"/>
    <w:rsid w:val="00A04329"/>
    <w:rsid w:val="00A26125"/>
    <w:rsid w:val="00AC0A37"/>
    <w:rsid w:val="00AC3C9B"/>
    <w:rsid w:val="00B26854"/>
    <w:rsid w:val="00B43338"/>
    <w:rsid w:val="00B564DA"/>
    <w:rsid w:val="00B66ECF"/>
    <w:rsid w:val="00B85CCE"/>
    <w:rsid w:val="00BA6619"/>
    <w:rsid w:val="00BC46D3"/>
    <w:rsid w:val="00BD164E"/>
    <w:rsid w:val="00C103DE"/>
    <w:rsid w:val="00C12D5C"/>
    <w:rsid w:val="00C80C5C"/>
    <w:rsid w:val="00D30AC2"/>
    <w:rsid w:val="00D32F91"/>
    <w:rsid w:val="00D41DFD"/>
    <w:rsid w:val="00D459DA"/>
    <w:rsid w:val="00D45CAD"/>
    <w:rsid w:val="00D6056C"/>
    <w:rsid w:val="00DE3887"/>
    <w:rsid w:val="00E01B0C"/>
    <w:rsid w:val="00E70D34"/>
    <w:rsid w:val="00E8411E"/>
    <w:rsid w:val="00E93DE0"/>
    <w:rsid w:val="00EA2948"/>
    <w:rsid w:val="00EC2624"/>
    <w:rsid w:val="00EE714A"/>
    <w:rsid w:val="00EF44EF"/>
    <w:rsid w:val="00F2194E"/>
    <w:rsid w:val="00F2411B"/>
    <w:rsid w:val="00F64C13"/>
    <w:rsid w:val="00FA68DB"/>
    <w:rsid w:val="00FB10E5"/>
    <w:rsid w:val="00FC3ACB"/>
    <w:rsid w:val="00FC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504</Words>
  <Characters>3017</Characters>
  <Application>Microsoft Office Word</Application>
  <DocSecurity>0</DocSecurity>
  <Lines>94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14</cp:revision>
  <dcterms:created xsi:type="dcterms:W3CDTF">2026-09-14T09:35:00Z</dcterms:created>
  <dcterms:modified xsi:type="dcterms:W3CDTF">2026-09-18T13:52:00Z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