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F98E7E" w14:textId="01A173A6" w:rsidR="00234562" w:rsidRPr="001D718F" w:rsidRDefault="00935B71" w:rsidP="00234562">
      <w:pPr>
        <w:pBdr>
          <w:bottom w:val="single" w:sz="4" w:space="1" w:color="D0CECE" w:themeColor="background2" w:themeShade="E6"/>
        </w:pBdr>
        <w:ind w:left="-851"/>
        <w:rPr>
          <w:rFonts w:ascii="Poppins" w:hAnsi="Poppins" w:cs="Poppins"/>
          <w:color w:val="044054"/>
          <w:sz w:val="20"/>
          <w:szCs w:val="20"/>
        </w:rPr>
      </w:pPr>
      <w:r w:rsidRPr="00DE3887">
        <w:rPr>
          <w:rFonts w:ascii="Poppins" w:hAnsi="Poppins" w:cs="Poppins"/>
          <w:noProof/>
          <w:color w:val="044054"/>
        </w:rPr>
        <w:drawing>
          <wp:anchor distT="0" distB="0" distL="114300" distR="114300" simplePos="0" relativeHeight="251658240" behindDoc="0" locked="1" layoutInCell="1" allowOverlap="1" wp14:anchorId="06CB26F3" wp14:editId="29DE50E4">
            <wp:simplePos x="0" y="0"/>
            <wp:positionH relativeFrom="margin">
              <wp:posOffset>8046720</wp:posOffset>
            </wp:positionH>
            <wp:positionV relativeFrom="margin">
              <wp:posOffset>-3810</wp:posOffset>
            </wp:positionV>
            <wp:extent cx="1336040" cy="476250"/>
            <wp:effectExtent l="0" t="0" r="0" b="6350"/>
            <wp:wrapSquare wrapText="bothSides"/>
            <wp:docPr id="7086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432" name="Picture 708643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04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10D" w:rsidRPr="00DE3887">
        <w:rPr>
          <w:rFonts w:ascii="Poppins Medium" w:hAnsi="Poppins Medium" w:cs="Poppins Medium"/>
          <w:color w:val="044054"/>
        </w:rPr>
        <w:t>PSH: Guides</w:t>
      </w:r>
      <w:r w:rsidR="00234562" w:rsidRPr="00DE3887">
        <w:rPr>
          <w:rFonts w:ascii="Poppins Medium" w:hAnsi="Poppins Medium" w:cs="Poppins Medium"/>
          <w:color w:val="044054"/>
        </w:rPr>
        <w:t xml:space="preserve"> </w:t>
      </w:r>
      <w:r w:rsidR="0074510D" w:rsidRPr="00DE3887">
        <w:rPr>
          <w:rFonts w:ascii="Poppins" w:hAnsi="Poppins" w:cs="Poppins"/>
          <w:color w:val="044054"/>
        </w:rPr>
        <w:t xml:space="preserve">Selecting </w:t>
      </w:r>
      <w:r w:rsidR="00B77607">
        <w:rPr>
          <w:rFonts w:ascii="Poppins" w:hAnsi="Poppins" w:cs="Poppins"/>
          <w:color w:val="044054"/>
        </w:rPr>
        <w:t>Consultancy Services</w:t>
      </w:r>
      <w:r w:rsidR="00234562" w:rsidRPr="00DE3887">
        <w:rPr>
          <w:rFonts w:ascii="Poppins" w:hAnsi="Poppins" w:cs="Poppins"/>
          <w:color w:val="044054"/>
        </w:rPr>
        <w:br/>
      </w:r>
      <w:r w:rsidR="00234562" w:rsidRPr="001D718F">
        <w:rPr>
          <w:rFonts w:ascii="Poppins" w:hAnsi="Poppins" w:cs="Poppins"/>
          <w:color w:val="044054"/>
          <w:sz w:val="20"/>
          <w:szCs w:val="20"/>
        </w:rPr>
        <w:t>V1.0 – SEPTEMBER 2026</w:t>
      </w:r>
    </w:p>
    <w:p w14:paraId="3F6A892F" w14:textId="5294EE90" w:rsidR="0074510D" w:rsidRPr="00DE3887" w:rsidRDefault="0074510D" w:rsidP="00935B71">
      <w:pPr>
        <w:pStyle w:val="Heading1"/>
        <w:ind w:left="-850"/>
        <w:rPr>
          <w:color w:val="044054"/>
        </w:rPr>
      </w:pPr>
      <w:r w:rsidRPr="00DE3887">
        <w:rPr>
          <w:color w:val="044054"/>
        </w:rPr>
        <w:t>Preparation template</w:t>
      </w:r>
    </w:p>
    <w:p w14:paraId="614BD26A" w14:textId="56CC59D5" w:rsidR="00234562" w:rsidRDefault="00112964" w:rsidP="00935B71">
      <w:pPr>
        <w:ind w:left="-851"/>
        <w:rPr>
          <w:rFonts w:ascii="Poppins" w:hAnsi="Poppins" w:cs="Poppins"/>
          <w:color w:val="044054"/>
        </w:rPr>
      </w:pPr>
      <w:r w:rsidRPr="00112964">
        <w:rPr>
          <w:rFonts w:ascii="Poppins" w:hAnsi="Poppins" w:cs="Poppins"/>
          <w:color w:val="044054"/>
        </w:rPr>
        <w:t>Use this template to support your consultancy selection process.</w:t>
      </w:r>
      <w:r w:rsidRPr="00112964">
        <w:rPr>
          <w:rFonts w:ascii="Poppins" w:hAnsi="Poppins" w:cs="Poppins"/>
          <w:b/>
          <w:bCs/>
          <w:color w:val="044054"/>
        </w:rPr>
        <w:t xml:space="preserve"> </w:t>
      </w:r>
      <w:r w:rsidRPr="00112964">
        <w:rPr>
          <w:rFonts w:ascii="Poppins" w:hAnsi="Poppins" w:cs="Poppins"/>
          <w:color w:val="044054"/>
        </w:rPr>
        <w:t>The aim is to capture enough information to make the first conversation useful, without pretending every answer is already known. This will align internal stakeholders and define the outsourcing strategy</w:t>
      </w:r>
      <w:r>
        <w:rPr>
          <w:rFonts w:ascii="Poppins" w:hAnsi="Poppins" w:cs="Poppins"/>
          <w:color w:val="044054"/>
        </w:rPr>
        <w:t>.</w:t>
      </w:r>
    </w:p>
    <w:p w14:paraId="0387EB70" w14:textId="0803E8AD" w:rsidR="0074036E" w:rsidRPr="0074036E" w:rsidRDefault="0074036E" w:rsidP="0074036E">
      <w:pPr>
        <w:ind w:left="-851"/>
        <w:rPr>
          <w:rFonts w:ascii="Poppins" w:hAnsi="Poppins" w:cs="Poppins"/>
          <w:b/>
          <w:bCs/>
          <w:color w:val="044054"/>
        </w:rPr>
      </w:pPr>
      <w:r w:rsidRPr="0074036E">
        <w:rPr>
          <w:rFonts w:ascii="Poppins" w:hAnsi="Poppins" w:cs="Poppins"/>
          <w:b/>
          <w:bCs/>
          <w:color w:val="044054"/>
        </w:rPr>
        <w:t>The following template should help define:</w:t>
      </w:r>
    </w:p>
    <w:p w14:paraId="105FD147" w14:textId="77777777" w:rsidR="0074036E" w:rsidRPr="0074036E" w:rsidRDefault="0074036E" w:rsidP="0074036E">
      <w:pPr>
        <w:numPr>
          <w:ilvl w:val="0"/>
          <w:numId w:val="2"/>
        </w:numPr>
        <w:rPr>
          <w:rFonts w:ascii="Poppins" w:hAnsi="Poppins" w:cs="Poppins"/>
          <w:b/>
          <w:bCs/>
          <w:color w:val="044054"/>
        </w:rPr>
      </w:pPr>
      <w:r w:rsidRPr="0074036E">
        <w:rPr>
          <w:rFonts w:ascii="Poppins" w:hAnsi="Poppins" w:cs="Poppins"/>
          <w:color w:val="044054"/>
        </w:rPr>
        <w:t>Business objectives</w:t>
      </w:r>
    </w:p>
    <w:p w14:paraId="46EC3D00" w14:textId="77777777" w:rsidR="0074036E" w:rsidRPr="0074036E" w:rsidRDefault="0074036E" w:rsidP="0074036E">
      <w:pPr>
        <w:numPr>
          <w:ilvl w:val="0"/>
          <w:numId w:val="2"/>
        </w:numPr>
        <w:rPr>
          <w:rFonts w:ascii="Poppins" w:hAnsi="Poppins" w:cs="Poppins"/>
          <w:b/>
          <w:bCs/>
          <w:color w:val="044054"/>
        </w:rPr>
      </w:pPr>
      <w:r w:rsidRPr="0074036E">
        <w:rPr>
          <w:rFonts w:ascii="Poppins" w:hAnsi="Poppins" w:cs="Poppins"/>
          <w:color w:val="044054"/>
        </w:rPr>
        <w:t>Development milestone</w:t>
      </w:r>
    </w:p>
    <w:p w14:paraId="6FED0948" w14:textId="77777777" w:rsidR="0074036E" w:rsidRPr="0074036E" w:rsidRDefault="0074036E" w:rsidP="0074036E">
      <w:pPr>
        <w:numPr>
          <w:ilvl w:val="0"/>
          <w:numId w:val="2"/>
        </w:numPr>
        <w:rPr>
          <w:rFonts w:ascii="Poppins" w:hAnsi="Poppins" w:cs="Poppins"/>
          <w:b/>
          <w:bCs/>
          <w:color w:val="044054"/>
        </w:rPr>
      </w:pPr>
      <w:r w:rsidRPr="0074036E">
        <w:rPr>
          <w:rFonts w:ascii="Poppins" w:hAnsi="Poppins" w:cs="Poppins"/>
          <w:color w:val="044054"/>
        </w:rPr>
        <w:t>Internal capability gaps</w:t>
      </w:r>
    </w:p>
    <w:p w14:paraId="7389F8A7" w14:textId="77777777" w:rsidR="0074036E" w:rsidRPr="0074036E" w:rsidRDefault="0074036E" w:rsidP="0074036E">
      <w:pPr>
        <w:numPr>
          <w:ilvl w:val="0"/>
          <w:numId w:val="2"/>
        </w:numPr>
        <w:rPr>
          <w:rFonts w:ascii="Poppins" w:hAnsi="Poppins" w:cs="Poppins"/>
          <w:b/>
          <w:bCs/>
          <w:color w:val="044054"/>
        </w:rPr>
      </w:pPr>
      <w:r w:rsidRPr="0074036E">
        <w:rPr>
          <w:rFonts w:ascii="Poppins" w:hAnsi="Poppins" w:cs="Poppins"/>
          <w:color w:val="044054"/>
        </w:rPr>
        <w:t>Project scope</w:t>
      </w:r>
    </w:p>
    <w:p w14:paraId="0F151548" w14:textId="77777777" w:rsidR="0074036E" w:rsidRPr="0074036E" w:rsidRDefault="0074036E" w:rsidP="0074036E">
      <w:pPr>
        <w:numPr>
          <w:ilvl w:val="0"/>
          <w:numId w:val="2"/>
        </w:numPr>
        <w:rPr>
          <w:rFonts w:ascii="Poppins" w:hAnsi="Poppins" w:cs="Poppins"/>
          <w:b/>
          <w:bCs/>
          <w:color w:val="044054"/>
        </w:rPr>
      </w:pPr>
      <w:r w:rsidRPr="0074036E">
        <w:rPr>
          <w:rFonts w:ascii="Poppins" w:hAnsi="Poppins" w:cs="Poppins"/>
          <w:color w:val="044054"/>
        </w:rPr>
        <w:t>Deliverables</w:t>
      </w:r>
    </w:p>
    <w:p w14:paraId="36DE3350" w14:textId="77777777" w:rsidR="0074036E" w:rsidRPr="0074036E" w:rsidRDefault="0074036E" w:rsidP="0074036E">
      <w:pPr>
        <w:numPr>
          <w:ilvl w:val="0"/>
          <w:numId w:val="2"/>
        </w:numPr>
        <w:rPr>
          <w:rFonts w:ascii="Poppins" w:hAnsi="Poppins" w:cs="Poppins"/>
          <w:b/>
          <w:bCs/>
          <w:color w:val="044054"/>
        </w:rPr>
      </w:pPr>
      <w:r w:rsidRPr="0074036E">
        <w:rPr>
          <w:rFonts w:ascii="Poppins" w:hAnsi="Poppins" w:cs="Poppins"/>
          <w:color w:val="044054"/>
        </w:rPr>
        <w:t>Budget assumptions</w:t>
      </w:r>
    </w:p>
    <w:p w14:paraId="05635AD5" w14:textId="77777777" w:rsidR="0074036E" w:rsidRPr="0074036E" w:rsidRDefault="0074036E" w:rsidP="0074036E">
      <w:pPr>
        <w:numPr>
          <w:ilvl w:val="0"/>
          <w:numId w:val="2"/>
        </w:numPr>
        <w:rPr>
          <w:rFonts w:ascii="Poppins" w:hAnsi="Poppins" w:cs="Poppins"/>
          <w:b/>
          <w:bCs/>
          <w:color w:val="044054"/>
        </w:rPr>
      </w:pPr>
      <w:r w:rsidRPr="0074036E">
        <w:rPr>
          <w:rFonts w:ascii="Poppins" w:hAnsi="Poppins" w:cs="Poppins"/>
          <w:color w:val="044054"/>
        </w:rPr>
        <w:t>Selection criteria</w:t>
      </w:r>
    </w:p>
    <w:p w14:paraId="13B4D51F" w14:textId="1DFB946B" w:rsidR="0074036E" w:rsidRPr="00DE3887" w:rsidRDefault="0074036E" w:rsidP="0074036E">
      <w:pPr>
        <w:rPr>
          <w:rFonts w:ascii="Poppins" w:hAnsi="Poppins" w:cs="Poppins"/>
          <w:color w:val="044054"/>
        </w:rPr>
      </w:pPr>
      <w:r>
        <w:rPr>
          <w:rFonts w:ascii="Poppins" w:hAnsi="Poppins" w:cs="Poppins"/>
          <w:color w:val="044054"/>
        </w:rPr>
        <w:br w:type="page"/>
      </w:r>
    </w:p>
    <w:tbl>
      <w:tblPr>
        <w:tblStyle w:val="GridTable4-Accent1"/>
        <w:tblW w:w="15738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62"/>
        <w:gridCol w:w="2549"/>
        <w:gridCol w:w="6902"/>
        <w:gridCol w:w="5525"/>
      </w:tblGrid>
      <w:tr w:rsidR="0074510D" w:rsidRPr="00DE3887" w14:paraId="7A4AA2D1" w14:textId="77777777" w:rsidTr="00935B71">
        <w:tc>
          <w:tcPr>
            <w:tcW w:w="0" w:type="auto"/>
            <w:vAlign w:val="center"/>
            <w:hideMark/>
          </w:tcPr>
          <w:p w14:paraId="0B0CCA37" w14:textId="77777777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  <w:lang w:eastAsia="en-GB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lastRenderedPageBreak/>
              <w:t>Step</w:t>
            </w:r>
          </w:p>
        </w:tc>
        <w:tc>
          <w:tcPr>
            <w:tcW w:w="0" w:type="auto"/>
            <w:vAlign w:val="center"/>
            <w:hideMark/>
          </w:tcPr>
          <w:p w14:paraId="04B646DF" w14:textId="77777777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Preparation area</w:t>
            </w:r>
          </w:p>
        </w:tc>
        <w:tc>
          <w:tcPr>
            <w:tcW w:w="6902" w:type="dxa"/>
            <w:vAlign w:val="center"/>
            <w:hideMark/>
          </w:tcPr>
          <w:p w14:paraId="5FC996E7" w14:textId="77777777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Information to populate</w:t>
            </w:r>
          </w:p>
        </w:tc>
        <w:tc>
          <w:tcPr>
            <w:tcW w:w="5525" w:type="dxa"/>
            <w:vAlign w:val="center"/>
            <w:hideMark/>
          </w:tcPr>
          <w:p w14:paraId="53AEF71B" w14:textId="0E65D5E0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Owner / notes</w:t>
            </w:r>
          </w:p>
        </w:tc>
      </w:tr>
      <w:tr w:rsidR="0074510D" w:rsidRPr="00DE3887" w14:paraId="70227B2C" w14:textId="77777777" w:rsidTr="00935B71">
        <w:tc>
          <w:tcPr>
            <w:tcW w:w="0" w:type="auto"/>
            <w:vAlign w:val="center"/>
            <w:hideMark/>
          </w:tcPr>
          <w:p w14:paraId="1C552E3B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DB3C1E" w14:textId="2974FD1B" w:rsidR="0074510D" w:rsidRPr="00DE3887" w:rsidRDefault="004936F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Business</w:t>
            </w:r>
            <w:r w:rsidR="0074510D" w:rsidRPr="00DE3887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 </w:t>
            </w:r>
            <w:r w:rsidR="003B2857">
              <w:rPr>
                <w:rFonts w:ascii="Poppins" w:hAnsi="Poppins" w:cs="Poppins"/>
                <w:color w:val="044054"/>
                <w:sz w:val="20"/>
                <w:szCs w:val="20"/>
              </w:rPr>
              <w:t>objective</w:t>
            </w:r>
          </w:p>
        </w:tc>
        <w:tc>
          <w:tcPr>
            <w:tcW w:w="6902" w:type="dxa"/>
            <w:vAlign w:val="center"/>
            <w:hideMark/>
          </w:tcPr>
          <w:p w14:paraId="179E0499" w14:textId="52A28345" w:rsidR="0074510D" w:rsidRPr="00DE3887" w:rsidRDefault="004139B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What decision needs to be made</w:t>
            </w:r>
            <w:r w:rsidR="00E219BF">
              <w:rPr>
                <w:rFonts w:ascii="Poppins" w:hAnsi="Poppins" w:cs="Poppins"/>
                <w:color w:val="044054"/>
                <w:sz w:val="20"/>
                <w:szCs w:val="20"/>
              </w:rPr>
              <w:t>.</w:t>
            </w:r>
          </w:p>
        </w:tc>
        <w:tc>
          <w:tcPr>
            <w:tcW w:w="5525" w:type="dxa"/>
            <w:vAlign w:val="center"/>
            <w:hideMark/>
          </w:tcPr>
          <w:p w14:paraId="24230FD1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736DF" w:rsidRPr="00DE3887" w14:paraId="630D75FD" w14:textId="1C7E38D8" w:rsidTr="00B736DF">
        <w:trPr>
          <w:trHeight w:val="273"/>
        </w:trPr>
        <w:tc>
          <w:tcPr>
            <w:tcW w:w="0" w:type="auto"/>
            <w:vAlign w:val="center"/>
            <w:hideMark/>
          </w:tcPr>
          <w:p w14:paraId="75DC344D" w14:textId="77777777" w:rsidR="00B736DF" w:rsidRPr="00DE3887" w:rsidRDefault="00B736D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BCF6EC7" w14:textId="2DF52D12" w:rsidR="00B736DF" w:rsidRPr="00DE3887" w:rsidRDefault="00B736D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Target milestone</w:t>
            </w:r>
          </w:p>
        </w:tc>
        <w:tc>
          <w:tcPr>
            <w:tcW w:w="6902" w:type="dxa"/>
            <w:vAlign w:val="center"/>
            <w:hideMark/>
          </w:tcPr>
          <w:p w14:paraId="7FD9850E" w14:textId="43501999" w:rsidR="00B736DF" w:rsidRPr="00DE3887" w:rsidRDefault="00B736D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736DF">
              <w:rPr>
                <w:rFonts w:ascii="Poppins" w:hAnsi="Poppins" w:cs="Poppins"/>
                <w:color w:val="044054"/>
                <w:sz w:val="20"/>
                <w:szCs w:val="20"/>
              </w:rPr>
              <w:t>Funding, IND, CTA, FIH, partnering, inspection, technology transfer etc.</w:t>
            </w:r>
          </w:p>
        </w:tc>
        <w:tc>
          <w:tcPr>
            <w:tcW w:w="5525" w:type="dxa"/>
            <w:vAlign w:val="center"/>
            <w:hideMark/>
          </w:tcPr>
          <w:p w14:paraId="31576F0A" w14:textId="16FF8CEC" w:rsidR="00B736DF" w:rsidRPr="00DE3887" w:rsidRDefault="00B736DF" w:rsidP="00CF5396">
            <w:pPr>
              <w:jc w:val="center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3F10E208" w14:textId="77777777" w:rsidTr="00935B71">
        <w:tc>
          <w:tcPr>
            <w:tcW w:w="0" w:type="auto"/>
            <w:vAlign w:val="center"/>
            <w:hideMark/>
          </w:tcPr>
          <w:p w14:paraId="16746798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B6EF4A" w14:textId="04B5A47E" w:rsidR="0074510D" w:rsidRPr="00DE3887" w:rsidRDefault="00B736D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Internal capability assessment</w:t>
            </w:r>
          </w:p>
        </w:tc>
        <w:tc>
          <w:tcPr>
            <w:tcW w:w="6902" w:type="dxa"/>
            <w:vAlign w:val="center"/>
            <w:hideMark/>
          </w:tcPr>
          <w:p w14:paraId="27069EC9" w14:textId="2DE5D731" w:rsidR="0074510D" w:rsidRPr="00B736DF" w:rsidRDefault="00B736DF" w:rsidP="00B736DF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736DF">
              <w:rPr>
                <w:rFonts w:ascii="Poppins" w:hAnsi="Poppins" w:cs="Poppins"/>
                <w:color w:val="044054"/>
                <w:sz w:val="20"/>
                <w:szCs w:val="20"/>
              </w:rPr>
              <w:t>What expertise exists internally?</w:t>
            </w:r>
          </w:p>
        </w:tc>
        <w:tc>
          <w:tcPr>
            <w:tcW w:w="5525" w:type="dxa"/>
            <w:vAlign w:val="center"/>
            <w:hideMark/>
          </w:tcPr>
          <w:p w14:paraId="440641A3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14344F7F" w14:textId="77777777" w:rsidTr="00935B71">
        <w:tc>
          <w:tcPr>
            <w:tcW w:w="0" w:type="auto"/>
            <w:vAlign w:val="center"/>
            <w:hideMark/>
          </w:tcPr>
          <w:p w14:paraId="05BC2241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D7AC6D2" w14:textId="4567CACF" w:rsidR="0074510D" w:rsidRPr="00DE3887" w:rsidRDefault="00B736D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Capability gaps</w:t>
            </w:r>
          </w:p>
        </w:tc>
        <w:tc>
          <w:tcPr>
            <w:tcW w:w="6902" w:type="dxa"/>
            <w:vAlign w:val="center"/>
            <w:hideMark/>
          </w:tcPr>
          <w:p w14:paraId="0A2A2A67" w14:textId="463A4BBF" w:rsidR="0074510D" w:rsidRPr="00DE3887" w:rsidRDefault="00B736D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What expertise is missing?</w:t>
            </w:r>
          </w:p>
        </w:tc>
        <w:tc>
          <w:tcPr>
            <w:tcW w:w="5525" w:type="dxa"/>
            <w:vAlign w:val="center"/>
            <w:hideMark/>
          </w:tcPr>
          <w:p w14:paraId="0EA9692B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0AEFBB6B" w14:textId="77777777" w:rsidTr="00935B71">
        <w:tc>
          <w:tcPr>
            <w:tcW w:w="0" w:type="auto"/>
            <w:vAlign w:val="center"/>
            <w:hideMark/>
          </w:tcPr>
          <w:p w14:paraId="35DA6971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70BF7A2" w14:textId="668EAFF2" w:rsidR="0074510D" w:rsidRPr="00DE3887" w:rsidRDefault="00C866F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66F8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Consultancy </w:t>
            </w:r>
            <w:r w:rsidR="00C4728D">
              <w:rPr>
                <w:rFonts w:ascii="Poppins" w:hAnsi="Poppins" w:cs="Poppins"/>
                <w:color w:val="044054"/>
                <w:sz w:val="20"/>
                <w:szCs w:val="20"/>
              </w:rPr>
              <w:t>t</w:t>
            </w:r>
            <w:r w:rsidRPr="00C866F8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ype </w:t>
            </w:r>
            <w:r w:rsidR="00C4728D">
              <w:rPr>
                <w:rFonts w:ascii="Poppins" w:hAnsi="Poppins" w:cs="Poppins"/>
                <w:color w:val="044054"/>
                <w:sz w:val="20"/>
                <w:szCs w:val="20"/>
              </w:rPr>
              <w:t>r</w:t>
            </w:r>
            <w:r w:rsidRPr="00C866F8">
              <w:rPr>
                <w:rFonts w:ascii="Poppins" w:hAnsi="Poppins" w:cs="Poppins"/>
                <w:color w:val="044054"/>
                <w:sz w:val="20"/>
                <w:szCs w:val="20"/>
              </w:rPr>
              <w:t>equired</w:t>
            </w:r>
          </w:p>
        </w:tc>
        <w:tc>
          <w:tcPr>
            <w:tcW w:w="6902" w:type="dxa"/>
            <w:vAlign w:val="center"/>
            <w:hideMark/>
          </w:tcPr>
          <w:p w14:paraId="4127C4B0" w14:textId="61E120FB" w:rsidR="0074510D" w:rsidRPr="00DE3887" w:rsidRDefault="006E2091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6E2091">
              <w:rPr>
                <w:rFonts w:ascii="Poppins" w:hAnsi="Poppins" w:cs="Poppins"/>
                <w:color w:val="044054"/>
                <w:sz w:val="20"/>
                <w:szCs w:val="20"/>
              </w:rPr>
              <w:t>Regulatory, Quality, CMC, Drug Safety, IP, Programme Management etc.</w:t>
            </w:r>
          </w:p>
        </w:tc>
        <w:tc>
          <w:tcPr>
            <w:tcW w:w="5525" w:type="dxa"/>
            <w:vAlign w:val="center"/>
            <w:hideMark/>
          </w:tcPr>
          <w:p w14:paraId="2DB16EAD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CB47289" w14:textId="77777777" w:rsidTr="00935B71">
        <w:tc>
          <w:tcPr>
            <w:tcW w:w="0" w:type="auto"/>
            <w:vAlign w:val="center"/>
            <w:hideMark/>
          </w:tcPr>
          <w:p w14:paraId="29F59FC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F009AEB" w14:textId="397D54C1" w:rsidR="0074510D" w:rsidRPr="00DE3887" w:rsidRDefault="00753BD9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53BD9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Project </w:t>
            </w:r>
            <w:r w:rsidR="00C4728D">
              <w:rPr>
                <w:rFonts w:ascii="Poppins" w:hAnsi="Poppins" w:cs="Poppins"/>
                <w:color w:val="044054"/>
                <w:sz w:val="20"/>
                <w:szCs w:val="20"/>
              </w:rPr>
              <w:t>s</w:t>
            </w:r>
            <w:r w:rsidRPr="00753BD9">
              <w:rPr>
                <w:rFonts w:ascii="Poppins" w:hAnsi="Poppins" w:cs="Poppins"/>
                <w:color w:val="044054"/>
                <w:sz w:val="20"/>
                <w:szCs w:val="20"/>
              </w:rPr>
              <w:t>cope</w:t>
            </w:r>
          </w:p>
        </w:tc>
        <w:tc>
          <w:tcPr>
            <w:tcW w:w="6902" w:type="dxa"/>
            <w:vAlign w:val="center"/>
            <w:hideMark/>
          </w:tcPr>
          <w:p w14:paraId="65441797" w14:textId="345104CF" w:rsidR="0074510D" w:rsidRPr="00DE3887" w:rsidRDefault="000C4401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0C4401">
              <w:rPr>
                <w:rFonts w:ascii="Poppins" w:hAnsi="Poppins" w:cs="Poppins"/>
                <w:color w:val="044054"/>
                <w:sz w:val="20"/>
                <w:szCs w:val="20"/>
              </w:rPr>
              <w:t>What activities require support?</w:t>
            </w:r>
          </w:p>
        </w:tc>
        <w:tc>
          <w:tcPr>
            <w:tcW w:w="5525" w:type="dxa"/>
            <w:vAlign w:val="center"/>
            <w:hideMark/>
          </w:tcPr>
          <w:p w14:paraId="0049DD1E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065FCDA" w14:textId="77777777" w:rsidTr="00935B71">
        <w:tc>
          <w:tcPr>
            <w:tcW w:w="0" w:type="auto"/>
            <w:vAlign w:val="center"/>
            <w:hideMark/>
          </w:tcPr>
          <w:p w14:paraId="219AB2D0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6CA8A89" w14:textId="3C4B7212" w:rsidR="0074510D" w:rsidRPr="00DE3887" w:rsidRDefault="00C4728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4728D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Expected 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d</w:t>
            </w:r>
            <w:r w:rsidRPr="00C4728D">
              <w:rPr>
                <w:rFonts w:ascii="Poppins" w:hAnsi="Poppins" w:cs="Poppins"/>
                <w:color w:val="044054"/>
                <w:sz w:val="20"/>
                <w:szCs w:val="20"/>
              </w:rPr>
              <w:t>eliverables</w:t>
            </w:r>
          </w:p>
        </w:tc>
        <w:tc>
          <w:tcPr>
            <w:tcW w:w="6902" w:type="dxa"/>
            <w:vAlign w:val="center"/>
            <w:hideMark/>
          </w:tcPr>
          <w:p w14:paraId="633193B7" w14:textId="2751C352" w:rsidR="0074510D" w:rsidRPr="00DE3887" w:rsidRDefault="00D859F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859F0">
              <w:rPr>
                <w:rFonts w:ascii="Poppins" w:hAnsi="Poppins" w:cs="Poppins"/>
                <w:color w:val="044054"/>
                <w:sz w:val="20"/>
                <w:szCs w:val="20"/>
              </w:rPr>
              <w:t>Reports, strategies, submissions, audits, risk assessments etc.</w:t>
            </w:r>
          </w:p>
        </w:tc>
        <w:tc>
          <w:tcPr>
            <w:tcW w:w="5525" w:type="dxa"/>
            <w:vAlign w:val="center"/>
            <w:hideMark/>
          </w:tcPr>
          <w:p w14:paraId="7FFCCD89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18CA379E" w14:textId="77777777" w:rsidTr="00935B71">
        <w:tc>
          <w:tcPr>
            <w:tcW w:w="0" w:type="auto"/>
            <w:vAlign w:val="center"/>
            <w:hideMark/>
          </w:tcPr>
          <w:p w14:paraId="03A2093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A496563" w14:textId="6F3D65C9" w:rsidR="0074510D" w:rsidRPr="00DE3887" w:rsidRDefault="004C7A55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4C7A55">
              <w:rPr>
                <w:rFonts w:ascii="Poppins" w:hAnsi="Poppins" w:cs="Poppins"/>
                <w:color w:val="044054"/>
                <w:sz w:val="20"/>
                <w:szCs w:val="20"/>
              </w:rPr>
              <w:t>Timeline</w:t>
            </w:r>
          </w:p>
        </w:tc>
        <w:tc>
          <w:tcPr>
            <w:tcW w:w="6902" w:type="dxa"/>
            <w:vAlign w:val="center"/>
            <w:hideMark/>
          </w:tcPr>
          <w:p w14:paraId="6CC38D4F" w14:textId="09E49929" w:rsidR="0074510D" w:rsidRPr="00DE3887" w:rsidRDefault="004B4A51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4B4A51">
              <w:rPr>
                <w:rFonts w:ascii="Poppins" w:hAnsi="Poppins" w:cs="Poppins"/>
                <w:color w:val="044054"/>
                <w:sz w:val="20"/>
                <w:szCs w:val="20"/>
              </w:rPr>
              <w:t>Key milestones and deadlines</w:t>
            </w:r>
            <w:r w:rsidR="00F26EF2">
              <w:rPr>
                <w:rFonts w:ascii="Poppins" w:hAnsi="Poppins" w:cs="Poppins"/>
                <w:color w:val="044054"/>
                <w:sz w:val="20"/>
                <w:szCs w:val="20"/>
              </w:rPr>
              <w:t>.</w:t>
            </w:r>
          </w:p>
        </w:tc>
        <w:tc>
          <w:tcPr>
            <w:tcW w:w="5525" w:type="dxa"/>
            <w:vAlign w:val="center"/>
            <w:hideMark/>
          </w:tcPr>
          <w:p w14:paraId="251103C4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99531A" w:rsidRPr="00DE3887" w14:paraId="58DE5FD2" w14:textId="77777777" w:rsidTr="00935B71">
        <w:tc>
          <w:tcPr>
            <w:tcW w:w="0" w:type="auto"/>
            <w:vAlign w:val="center"/>
          </w:tcPr>
          <w:p w14:paraId="612424C8" w14:textId="660EEAA1" w:rsidR="0099531A" w:rsidRPr="00DE3887" w:rsidRDefault="0099531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14:paraId="42A3E4EC" w14:textId="1FF06C65" w:rsidR="0099531A" w:rsidRPr="00DE3887" w:rsidRDefault="00E5062B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E5062B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Budget 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p</w:t>
            </w:r>
            <w:r w:rsidRPr="00E5062B">
              <w:rPr>
                <w:rFonts w:ascii="Poppins" w:hAnsi="Poppins" w:cs="Poppins"/>
                <w:color w:val="044054"/>
                <w:sz w:val="20"/>
                <w:szCs w:val="20"/>
              </w:rPr>
              <w:t>arameters</w:t>
            </w:r>
          </w:p>
        </w:tc>
        <w:tc>
          <w:tcPr>
            <w:tcW w:w="6902" w:type="dxa"/>
            <w:vAlign w:val="center"/>
          </w:tcPr>
          <w:p w14:paraId="24920A87" w14:textId="21D482BA" w:rsidR="0099531A" w:rsidRPr="00DE3887" w:rsidRDefault="00C42F9E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42F9E">
              <w:rPr>
                <w:rFonts w:ascii="Poppins" w:hAnsi="Poppins" w:cs="Poppins"/>
                <w:color w:val="044054"/>
                <w:sz w:val="20"/>
                <w:szCs w:val="20"/>
              </w:rPr>
              <w:t>Known constraints or target spend</w:t>
            </w:r>
            <w:r w:rsidR="00F26EF2">
              <w:rPr>
                <w:rFonts w:ascii="Poppins" w:hAnsi="Poppins" w:cs="Poppins"/>
                <w:color w:val="044054"/>
                <w:sz w:val="20"/>
                <w:szCs w:val="20"/>
              </w:rPr>
              <w:t>.</w:t>
            </w:r>
          </w:p>
        </w:tc>
        <w:tc>
          <w:tcPr>
            <w:tcW w:w="5525" w:type="dxa"/>
            <w:vAlign w:val="center"/>
          </w:tcPr>
          <w:p w14:paraId="11AA99E3" w14:textId="77777777" w:rsidR="0099531A" w:rsidRPr="00DE3887" w:rsidRDefault="0099531A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D93226" w:rsidRPr="00DE3887" w14:paraId="63B0EFB0" w14:textId="77777777" w:rsidTr="00935B71">
        <w:tc>
          <w:tcPr>
            <w:tcW w:w="0" w:type="auto"/>
            <w:vAlign w:val="center"/>
            <w:hideMark/>
          </w:tcPr>
          <w:p w14:paraId="20C471D5" w14:textId="1B526DCE" w:rsidR="00D93226" w:rsidRPr="00DE3887" w:rsidRDefault="0084161D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>
              <w:rPr>
                <w:rFonts w:ascii="Poppins" w:hAnsi="Poppins" w:cs="Poppins"/>
                <w:color w:val="044054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B4FAC28" w14:textId="513A05C8" w:rsidR="00D93226" w:rsidRPr="00DE3887" w:rsidRDefault="00560F67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60F67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Success 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c</w:t>
            </w:r>
            <w:r w:rsidRPr="00560F67">
              <w:rPr>
                <w:rFonts w:ascii="Poppins" w:hAnsi="Poppins" w:cs="Poppins"/>
                <w:color w:val="044054"/>
                <w:sz w:val="20"/>
                <w:szCs w:val="20"/>
              </w:rPr>
              <w:t>riteria</w:t>
            </w:r>
          </w:p>
        </w:tc>
        <w:tc>
          <w:tcPr>
            <w:tcW w:w="6902" w:type="dxa"/>
            <w:vAlign w:val="center"/>
            <w:hideMark/>
          </w:tcPr>
          <w:p w14:paraId="2A8C41B7" w14:textId="79A4A14C" w:rsidR="00D93226" w:rsidRPr="00DE3887" w:rsidRDefault="00A62069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A62069">
              <w:rPr>
                <w:rFonts w:ascii="Poppins" w:hAnsi="Poppins" w:cs="Poppins"/>
                <w:color w:val="044054"/>
                <w:sz w:val="20"/>
                <w:szCs w:val="20"/>
              </w:rPr>
              <w:t>How will success be measured?</w:t>
            </w:r>
          </w:p>
        </w:tc>
        <w:tc>
          <w:tcPr>
            <w:tcW w:w="5525" w:type="dxa"/>
            <w:vAlign w:val="center"/>
            <w:hideMark/>
          </w:tcPr>
          <w:p w14:paraId="61C1D262" w14:textId="77777777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D93226" w:rsidRPr="00DE3887" w14:paraId="09BD385A" w14:textId="77777777" w:rsidTr="00935B71">
        <w:tc>
          <w:tcPr>
            <w:tcW w:w="0" w:type="auto"/>
            <w:vAlign w:val="center"/>
            <w:hideMark/>
          </w:tcPr>
          <w:p w14:paraId="15E816F8" w14:textId="147B7A36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</w:t>
            </w:r>
            <w:r w:rsidR="0084161D">
              <w:rPr>
                <w:rFonts w:ascii="Poppins" w:hAnsi="Poppins" w:cs="Poppins"/>
                <w:color w:val="044054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3C5EE61" w14:textId="680BDB98" w:rsidR="00D93226" w:rsidRPr="00DE3887" w:rsidRDefault="0084161D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84161D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Key 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r</w:t>
            </w:r>
            <w:r w:rsidRPr="0084161D">
              <w:rPr>
                <w:rFonts w:ascii="Poppins" w:hAnsi="Poppins" w:cs="Poppins"/>
                <w:color w:val="044054"/>
                <w:sz w:val="20"/>
                <w:szCs w:val="20"/>
              </w:rPr>
              <w:t>isks</w:t>
            </w:r>
          </w:p>
        </w:tc>
        <w:tc>
          <w:tcPr>
            <w:tcW w:w="6902" w:type="dxa"/>
            <w:vAlign w:val="center"/>
            <w:hideMark/>
          </w:tcPr>
          <w:p w14:paraId="5B56C140" w14:textId="70A7E253" w:rsidR="00D93226" w:rsidRPr="00DE3887" w:rsidRDefault="00F26EF2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F26EF2">
              <w:rPr>
                <w:rFonts w:ascii="Poppins" w:hAnsi="Poppins" w:cs="Poppins"/>
                <w:color w:val="044054"/>
                <w:sz w:val="20"/>
                <w:szCs w:val="20"/>
              </w:rPr>
              <w:t>Technical, regulatory, operational or commercial risks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.</w:t>
            </w:r>
          </w:p>
        </w:tc>
        <w:tc>
          <w:tcPr>
            <w:tcW w:w="5525" w:type="dxa"/>
            <w:vAlign w:val="center"/>
            <w:hideMark/>
          </w:tcPr>
          <w:p w14:paraId="2A408F11" w14:textId="77777777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D93226" w:rsidRPr="00DE3887" w14:paraId="25945A80" w14:textId="77777777" w:rsidTr="00935B71">
        <w:tc>
          <w:tcPr>
            <w:tcW w:w="0" w:type="auto"/>
            <w:vAlign w:val="center"/>
            <w:hideMark/>
          </w:tcPr>
          <w:p w14:paraId="3B277883" w14:textId="3A07E03F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</w:t>
            </w:r>
            <w:r w:rsidR="00F26EF2">
              <w:rPr>
                <w:rFonts w:ascii="Poppins" w:hAnsi="Poppins" w:cs="Poppins"/>
                <w:color w:val="044054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4470CAF" w14:textId="60C7E9CE" w:rsidR="00D93226" w:rsidRPr="00DE3887" w:rsidRDefault="00E7493D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E7493D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Decision 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d</w:t>
            </w:r>
            <w:r w:rsidRPr="00E7493D">
              <w:rPr>
                <w:rFonts w:ascii="Poppins" w:hAnsi="Poppins" w:cs="Poppins"/>
                <w:color w:val="044054"/>
                <w:sz w:val="20"/>
                <w:szCs w:val="20"/>
              </w:rPr>
              <w:t>rivers</w:t>
            </w:r>
          </w:p>
        </w:tc>
        <w:tc>
          <w:tcPr>
            <w:tcW w:w="6902" w:type="dxa"/>
            <w:vAlign w:val="center"/>
            <w:hideMark/>
          </w:tcPr>
          <w:p w14:paraId="64BE8045" w14:textId="385F6DED" w:rsidR="00D93226" w:rsidRPr="00DE3887" w:rsidRDefault="007252D4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252D4">
              <w:rPr>
                <w:rFonts w:ascii="Poppins" w:hAnsi="Poppins" w:cs="Poppins"/>
                <w:color w:val="044054"/>
                <w:sz w:val="20"/>
                <w:szCs w:val="20"/>
              </w:rPr>
              <w:t>Expertise, speed, cost, flexibility, experience, geography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.</w:t>
            </w:r>
          </w:p>
        </w:tc>
        <w:tc>
          <w:tcPr>
            <w:tcW w:w="5525" w:type="dxa"/>
            <w:vAlign w:val="center"/>
            <w:hideMark/>
          </w:tcPr>
          <w:p w14:paraId="7B4BCA14" w14:textId="77777777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D93226" w:rsidRPr="00DE3887" w14:paraId="09B802CE" w14:textId="77777777" w:rsidTr="00935B71">
        <w:tc>
          <w:tcPr>
            <w:tcW w:w="0" w:type="auto"/>
            <w:vAlign w:val="center"/>
            <w:hideMark/>
          </w:tcPr>
          <w:p w14:paraId="4760B64B" w14:textId="3EC45629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lastRenderedPageBreak/>
              <w:t>1</w:t>
            </w:r>
            <w:r w:rsidR="00F26EF2">
              <w:rPr>
                <w:rFonts w:ascii="Poppins" w:hAnsi="Poppins" w:cs="Poppins"/>
                <w:color w:val="044054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43E3442" w14:textId="296EE726" w:rsidR="00D93226" w:rsidRPr="00DE3887" w:rsidRDefault="000835B3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0835B3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Internal 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s</w:t>
            </w:r>
            <w:r w:rsidRPr="000835B3">
              <w:rPr>
                <w:rFonts w:ascii="Poppins" w:hAnsi="Poppins" w:cs="Poppins"/>
                <w:color w:val="044054"/>
                <w:sz w:val="20"/>
                <w:szCs w:val="20"/>
              </w:rPr>
              <w:t>takeholders</w:t>
            </w:r>
          </w:p>
        </w:tc>
        <w:tc>
          <w:tcPr>
            <w:tcW w:w="6902" w:type="dxa"/>
            <w:vAlign w:val="center"/>
            <w:hideMark/>
          </w:tcPr>
          <w:p w14:paraId="4167C016" w14:textId="53587CFB" w:rsidR="00D93226" w:rsidRPr="00DE3887" w:rsidRDefault="0001317F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01317F">
              <w:rPr>
                <w:rFonts w:ascii="Poppins" w:hAnsi="Poppins" w:cs="Poppins"/>
                <w:color w:val="044054"/>
                <w:sz w:val="20"/>
                <w:szCs w:val="20"/>
              </w:rPr>
              <w:t>Decision makers and contributors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.</w:t>
            </w:r>
          </w:p>
        </w:tc>
        <w:tc>
          <w:tcPr>
            <w:tcW w:w="5525" w:type="dxa"/>
            <w:vAlign w:val="center"/>
            <w:hideMark/>
          </w:tcPr>
          <w:p w14:paraId="4440EC5A" w14:textId="77777777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D93226" w:rsidRPr="00DE3887" w14:paraId="76E3415F" w14:textId="77777777" w:rsidTr="00935B71">
        <w:tc>
          <w:tcPr>
            <w:tcW w:w="0" w:type="auto"/>
            <w:vAlign w:val="center"/>
            <w:hideMark/>
          </w:tcPr>
          <w:p w14:paraId="73503E99" w14:textId="285D4A7D" w:rsidR="00D93226" w:rsidRPr="00DE3887" w:rsidRDefault="00D93226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</w:t>
            </w:r>
            <w:r w:rsidR="00F26EF2">
              <w:rPr>
                <w:rFonts w:ascii="Poppins" w:hAnsi="Poppins" w:cs="Poppins"/>
                <w:color w:val="044054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87E6266" w14:textId="0981D0F4" w:rsidR="00D93226" w:rsidRPr="00DE3887" w:rsidRDefault="00EC1C42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EC1C42">
              <w:rPr>
                <w:rFonts w:ascii="Poppins" w:hAnsi="Poppins" w:cs="Poppins"/>
                <w:color w:val="044054"/>
                <w:sz w:val="20"/>
                <w:szCs w:val="20"/>
              </w:rPr>
              <w:t>Provider Longlist</w:t>
            </w:r>
          </w:p>
        </w:tc>
        <w:tc>
          <w:tcPr>
            <w:tcW w:w="6902" w:type="dxa"/>
            <w:vAlign w:val="center"/>
            <w:hideMark/>
          </w:tcPr>
          <w:p w14:paraId="5391D5C5" w14:textId="79CB2519" w:rsidR="00D93226" w:rsidRPr="00DE3887" w:rsidRDefault="009F5169" w:rsidP="00D9322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F5169">
              <w:rPr>
                <w:rFonts w:ascii="Poppins" w:hAnsi="Poppins" w:cs="Poppins"/>
                <w:color w:val="044054"/>
                <w:sz w:val="20"/>
                <w:szCs w:val="20"/>
              </w:rPr>
              <w:t>Potential consultancies to approach</w:t>
            </w:r>
            <w:r>
              <w:rPr>
                <w:rFonts w:ascii="Poppins" w:hAnsi="Poppins" w:cs="Poppins"/>
                <w:color w:val="044054"/>
                <w:sz w:val="20"/>
                <w:szCs w:val="20"/>
              </w:rPr>
              <w:t>.</w:t>
            </w:r>
          </w:p>
        </w:tc>
        <w:tc>
          <w:tcPr>
            <w:tcW w:w="5525" w:type="dxa"/>
            <w:vAlign w:val="center"/>
            <w:hideMark/>
          </w:tcPr>
          <w:p w14:paraId="1CC2C3EE" w14:textId="77777777" w:rsidR="00D93226" w:rsidRPr="00DE3887" w:rsidRDefault="00D93226" w:rsidP="00D93226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</w:tbl>
    <w:p w14:paraId="40A9C7EC" w14:textId="77777777" w:rsidR="00935B71" w:rsidRPr="00DE3887" w:rsidRDefault="00935B71" w:rsidP="0074510D">
      <w:pPr>
        <w:rPr>
          <w:rFonts w:ascii="Poppins" w:hAnsi="Poppins" w:cs="Poppins"/>
          <w:color w:val="044054"/>
        </w:rPr>
      </w:pPr>
    </w:p>
    <w:p w14:paraId="4C13B654" w14:textId="7A4192CD" w:rsidR="0074510D" w:rsidRPr="00DE3887" w:rsidRDefault="0074510D" w:rsidP="0074510D">
      <w:pPr>
        <w:rPr>
          <w:rFonts w:ascii="Poppins" w:hAnsi="Poppins" w:cs="Poppins"/>
          <w:color w:val="044054"/>
        </w:rPr>
      </w:pPr>
      <w:r w:rsidRPr="00DE3887">
        <w:rPr>
          <w:rFonts w:ascii="Poppins" w:hAnsi="Poppins" w:cs="Poppins"/>
          <w:color w:val="044054"/>
        </w:rPr>
        <w:t>A balanced preparation template should make the project easier to understand, not harder to start. If a section cannot be completed, say so clearly and ask the provider how they would approach the gap.</w:t>
      </w:r>
    </w:p>
    <w:p w14:paraId="485FDC84" w14:textId="77777777" w:rsidR="00A04329" w:rsidRPr="00DE3887" w:rsidRDefault="00A04329">
      <w:pPr>
        <w:rPr>
          <w:rFonts w:ascii="Poppins" w:hAnsi="Poppins" w:cs="Poppins"/>
          <w:b/>
          <w:bCs/>
          <w:color w:val="044054"/>
        </w:rPr>
      </w:pPr>
    </w:p>
    <w:sectPr w:rsidR="00A04329" w:rsidRPr="00DE3887" w:rsidSect="00935B71">
      <w:headerReference w:type="default" r:id="rId11"/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E4D914" w14:textId="77777777" w:rsidR="0091307B" w:rsidRDefault="0091307B" w:rsidP="0074510D">
      <w:pPr>
        <w:spacing w:after="0" w:line="240" w:lineRule="auto"/>
      </w:pPr>
      <w:r>
        <w:separator/>
      </w:r>
    </w:p>
  </w:endnote>
  <w:endnote w:type="continuationSeparator" w:id="0">
    <w:p w14:paraId="294D4C8E" w14:textId="77777777" w:rsidR="0091307B" w:rsidRDefault="0091307B" w:rsidP="0074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8C53A3" w14:textId="77777777" w:rsidR="0091307B" w:rsidRDefault="0091307B" w:rsidP="0074510D">
      <w:pPr>
        <w:spacing w:after="0" w:line="240" w:lineRule="auto"/>
      </w:pPr>
      <w:r>
        <w:separator/>
      </w:r>
    </w:p>
  </w:footnote>
  <w:footnote w:type="continuationSeparator" w:id="0">
    <w:p w14:paraId="388FEF30" w14:textId="77777777" w:rsidR="0091307B" w:rsidRDefault="0091307B" w:rsidP="00745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BEB1EF" w14:textId="5C27D190" w:rsidR="006E1512" w:rsidRDefault="009372A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7714FB10" wp14:editId="04B35984">
          <wp:simplePos x="0" y="0"/>
          <wp:positionH relativeFrom="margin">
            <wp:posOffset>-525101</wp:posOffset>
          </wp:positionH>
          <wp:positionV relativeFrom="margin">
            <wp:posOffset>-478293</wp:posOffset>
          </wp:positionV>
          <wp:extent cx="9966960" cy="6544945"/>
          <wp:effectExtent l="0" t="0" r="2540" b="0"/>
          <wp:wrapNone/>
          <wp:docPr id="2" name="WordPictureWatermark11666687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66668788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565" cy="65716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FAFA7E" w14:textId="4FE9FE59" w:rsidR="0074510D" w:rsidRDefault="007451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C05213"/>
    <w:multiLevelType w:val="hybridMultilevel"/>
    <w:tmpl w:val="B10A3FE4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64C17CAD"/>
    <w:multiLevelType w:val="hybridMultilevel"/>
    <w:tmpl w:val="B1800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797693">
    <w:abstractNumId w:val="1"/>
  </w:num>
  <w:num w:numId="2" w16cid:durableId="17711962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0D"/>
    <w:rsid w:val="0001317F"/>
    <w:rsid w:val="0002527D"/>
    <w:rsid w:val="00050111"/>
    <w:rsid w:val="000835B3"/>
    <w:rsid w:val="000C4401"/>
    <w:rsid w:val="0010468A"/>
    <w:rsid w:val="00112964"/>
    <w:rsid w:val="001B646A"/>
    <w:rsid w:val="001D109A"/>
    <w:rsid w:val="001D718F"/>
    <w:rsid w:val="00234562"/>
    <w:rsid w:val="002679B5"/>
    <w:rsid w:val="002A6457"/>
    <w:rsid w:val="003B2857"/>
    <w:rsid w:val="003F2419"/>
    <w:rsid w:val="004139B2"/>
    <w:rsid w:val="00476A56"/>
    <w:rsid w:val="00490906"/>
    <w:rsid w:val="004936FA"/>
    <w:rsid w:val="004B4A51"/>
    <w:rsid w:val="004C7A55"/>
    <w:rsid w:val="00557CF6"/>
    <w:rsid w:val="00560F67"/>
    <w:rsid w:val="00584C1D"/>
    <w:rsid w:val="00663DED"/>
    <w:rsid w:val="006E1512"/>
    <w:rsid w:val="006E2091"/>
    <w:rsid w:val="007252D4"/>
    <w:rsid w:val="0074036E"/>
    <w:rsid w:val="0074510D"/>
    <w:rsid w:val="00753BD9"/>
    <w:rsid w:val="0084161D"/>
    <w:rsid w:val="0091307B"/>
    <w:rsid w:val="00935B71"/>
    <w:rsid w:val="009372AF"/>
    <w:rsid w:val="0099531A"/>
    <w:rsid w:val="009F5169"/>
    <w:rsid w:val="00A04329"/>
    <w:rsid w:val="00A62069"/>
    <w:rsid w:val="00B50751"/>
    <w:rsid w:val="00B736DF"/>
    <w:rsid w:val="00B77607"/>
    <w:rsid w:val="00B85CCE"/>
    <w:rsid w:val="00C12D5C"/>
    <w:rsid w:val="00C42F9E"/>
    <w:rsid w:val="00C4728D"/>
    <w:rsid w:val="00C866F8"/>
    <w:rsid w:val="00CE306F"/>
    <w:rsid w:val="00CF5396"/>
    <w:rsid w:val="00D859F0"/>
    <w:rsid w:val="00D93226"/>
    <w:rsid w:val="00DE3887"/>
    <w:rsid w:val="00E219BF"/>
    <w:rsid w:val="00E5062B"/>
    <w:rsid w:val="00E70D34"/>
    <w:rsid w:val="00E7493D"/>
    <w:rsid w:val="00EC1C42"/>
    <w:rsid w:val="00EC2624"/>
    <w:rsid w:val="00EC4C8C"/>
    <w:rsid w:val="00F26EF2"/>
    <w:rsid w:val="00F4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76FA"/>
  <w15:chartTrackingRefBased/>
  <w15:docId w15:val="{4AD9DF93-A987-D045-84A3-2DB0FB09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10D"/>
  </w:style>
  <w:style w:type="paragraph" w:styleId="Heading1">
    <w:name w:val="heading 1"/>
    <w:basedOn w:val="Normal"/>
    <w:next w:val="Normal"/>
    <w:link w:val="Heading1Char"/>
    <w:uiPriority w:val="9"/>
    <w:qFormat/>
    <w:rsid w:val="00234562"/>
    <w:pPr>
      <w:ind w:left="-851"/>
      <w:outlineLvl w:val="0"/>
    </w:pPr>
    <w:rPr>
      <w:rFonts w:ascii="Poppins" w:hAnsi="Poppins" w:cs="Poppins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562"/>
    <w:rPr>
      <w:rFonts w:ascii="Poppins" w:hAnsi="Poppins" w:cs="Poppins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45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1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1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1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1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10D"/>
    <w:rPr>
      <w:b/>
      <w:bCs/>
      <w:smallCaps/>
      <w:color w:val="2F5496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74510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</w:style>
  <w:style w:type="paragraph" w:styleId="Header">
    <w:name w:val="header"/>
    <w:basedOn w:val="Normal"/>
    <w:link w:val="Head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0D"/>
  </w:style>
  <w:style w:type="paragraph" w:styleId="Footer">
    <w:name w:val="footer"/>
    <w:basedOn w:val="Normal"/>
    <w:link w:val="Foot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a5122-bb44-443e-a8dd-0c4745789b23" xsi:nil="true"/>
    <lcf76f155ced4ddcb4097134ff3c332f xmlns="2417d121-eb52-4a1b-aac4-f9042990a8c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C6501E2F03A84F98E16DB98B72114A" ma:contentTypeVersion="11" ma:contentTypeDescription="Create a new document." ma:contentTypeScope="" ma:versionID="d2112832677acf01d94e8d91d1059788">
  <xsd:schema xmlns:xsd="http://www.w3.org/2001/XMLSchema" xmlns:xs="http://www.w3.org/2001/XMLSchema" xmlns:p="http://schemas.microsoft.com/office/2006/metadata/properties" xmlns:ns2="2417d121-eb52-4a1b-aac4-f9042990a8cc" xmlns:ns3="6f9a5122-bb44-443e-a8dd-0c4745789b23" targetNamespace="http://schemas.microsoft.com/office/2006/metadata/properties" ma:root="true" ma:fieldsID="c0a5aa99ab712a7f83b55328f230ea49" ns2:_="" ns3:_="">
    <xsd:import namespace="2417d121-eb52-4a1b-aac4-f9042990a8cc"/>
    <xsd:import namespace="6f9a5122-bb44-443e-a8dd-0c4745789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7d121-eb52-4a1b-aac4-f9042990a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73b51b-b3c0-4285-a284-10998cc19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a5122-bb44-443e-a8dd-0c4745789b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f8ea6b-ca76-4789-962b-e5eca908eb9c}" ma:internalName="TaxCatchAll" ma:showField="CatchAllData" ma:web="6f9a5122-bb44-443e-a8dd-0c4745789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75BC18-5C89-4B13-B99D-87D4A8005A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39D69E-2C00-48C6-8C47-3B15EA1F7038}">
  <ds:schemaRefs>
    <ds:schemaRef ds:uri="http://schemas.microsoft.com/office/2006/metadata/properties"/>
    <ds:schemaRef ds:uri="http://schemas.microsoft.com/office/infopath/2007/PartnerControls"/>
    <ds:schemaRef ds:uri="6f9a5122-bb44-443e-a8dd-0c4745789b23"/>
    <ds:schemaRef ds:uri="2417d121-eb52-4a1b-aac4-f9042990a8cc"/>
  </ds:schemaRefs>
</ds:datastoreItem>
</file>

<file path=customXml/itemProps3.xml><?xml version="1.0" encoding="utf-8"?>
<ds:datastoreItem xmlns:ds="http://schemas.openxmlformats.org/officeDocument/2006/customXml" ds:itemID="{4D4FB190-2A63-48D3-A2CE-4CF4C94B3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7d121-eb52-4a1b-aac4-f9042990a8cc"/>
    <ds:schemaRef ds:uri="6f9a5122-bb44-443e-a8dd-0c4745789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247</Words>
  <Characters>1483</Characters>
  <Application>Microsoft Office Word</Application>
  <DocSecurity>0</DocSecurity>
  <Lines>46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Geen</dc:creator>
  <cp:keywords/>
  <dc:description/>
  <cp:lastModifiedBy>Sunil Singh</cp:lastModifiedBy>
  <cp:revision>38</cp:revision>
  <dcterms:created xsi:type="dcterms:W3CDTF">2026-09-14T09:06:00Z</dcterms:created>
  <dcterms:modified xsi:type="dcterms:W3CDTF">2026-09-18T13:15:00Z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0x010100BCC6501E2F03A84F98E16DB98B72114A</vt:lpwstr>
  </property>
  <property fmtid="{D5CDD505-2E9C-101B-9397-08002B2CF9AE}" pid="3" name="MediaServiceImageTags">
    <vt:lpwstr/>
  </property>
</Properties>
</file>